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p>
    <w:p>
      <w:pPr>
        <w:spacing w:after="160"/>
      </w:pPr>
    </w:p>
    <w:p>
      <w:pPr>
        <w:spacing w:after="160"/>
      </w:pPr>
    </w:p>
    <w:p>
      <w:pPr>
        <w:spacing w:after="160"/>
      </w:pPr>
    </w:p>
    <w:p>
      <w:pPr>
        <w:spacing w:after="160"/>
      </w:pPr>
    </w:p>
    <w:p>
      <w:pPr>
        <w:spacing w:after="160"/>
      </w:pPr>
    </w:p>
    <w:p>
      <w:pPr>
        <w:spacing w:after="240"/>
        <w:jc w:val="center"/>
      </w:pPr>
      <w:r>
        <w:rPr>
          <w:rFonts w:ascii="Calibri" w:hAnsi="Calibri"/>
          <w:b/>
          <w:smallCaps/>
          <w:color w:val="C6A24A"/>
          <w:sz w:val="20"/>
        </w:rPr>
        <w:t>HUMAN CAPITAL CONSERVATISM</w:t>
      </w:r>
    </w:p>
    <w:p>
      <w:pPr>
        <w:spacing w:after="160"/>
        <w:jc w:val="center"/>
      </w:pPr>
      <w:r>
        <w:rPr>
          <w:rFonts w:ascii="Calibri" w:hAnsi="Calibri"/>
          <w:b/>
          <w:color w:val="321447"/>
          <w:sz w:val="68"/>
        </w:rPr>
        <w:t>THE PURPLE WAY</w:t>
      </w:r>
    </w:p>
    <w:p>
      <w:pPr>
        <w:spacing w:after="400"/>
        <w:jc w:val="center"/>
      </w:pPr>
      <w:r>
        <w:rPr>
          <w:rFonts w:ascii="Calibri" w:hAnsi="Calibri"/>
          <w:b/>
          <w:color w:val="54207A"/>
          <w:sz w:val="48"/>
        </w:rPr>
        <w:t>THE BETTER ALTERNATIVE TO DSA</w:t>
      </w:r>
    </w:p>
    <w:p>
      <w:pPr>
        <w:spacing w:after="160"/>
        <w:jc w:val="center"/>
      </w:pPr>
      <w:r>
        <w:rPr>
          <w:rFonts w:ascii="Calibri" w:hAnsi="Calibri"/>
          <w:i/>
          <w:color w:val="66616B"/>
          <w:sz w:val="30"/>
        </w:rPr>
        <w:t>Why Human Capital Conservatism Offers America More Than Democratic Socialism</w:t>
      </w:r>
    </w:p>
    <w:p>
      <w:pPr>
        <w:spacing w:after="1280"/>
        <w:jc w:val="center"/>
      </w:pPr>
      <w:r>
        <w:rPr>
          <w:rFonts w:ascii="Calibri" w:hAnsi="Calibri"/>
          <w:b/>
          <w:color w:val="C6A24A"/>
          <w:sz w:val="23"/>
        </w:rPr>
        <w:t>A direct challenge to the Democratic Socialists of America</w:t>
      </w:r>
    </w:p>
    <w:p>
      <w:pPr>
        <w:spacing w:after="80"/>
        <w:jc w:val="center"/>
      </w:pPr>
      <w:r>
        <w:rPr>
          <w:rFonts w:ascii="Calibri" w:hAnsi="Calibri"/>
          <w:b/>
          <w:color w:val="321447"/>
          <w:sz w:val="28"/>
        </w:rPr>
        <w:t>RUSTIN PENLAND</w:t>
      </w:r>
    </w:p>
    <w:p>
      <w:pPr>
        <w:jc w:val="center"/>
      </w:pPr>
      <w:r>
        <w:rPr>
          <w:rFonts w:ascii="Calibri" w:hAnsi="Calibri"/>
          <w:color w:val="66616B"/>
          <w:sz w:val="21"/>
        </w:rPr>
        <w:t>Creator of the Purple Way</w:t>
      </w:r>
    </w:p>
    <w:p>
      <w:r>
        <w:br w:type="page"/>
      </w:r>
    </w:p>
    <w:p>
      <w:pPr>
        <w:spacing w:after="0"/>
        <w:jc w:val="center"/>
      </w:pPr>
      <w:r>
        <w:br/>
      </w:r>
      <w:r>
        <w:br/>
      </w:r>
      <w:r>
        <w:br/>
      </w:r>
      <w:r>
        <w:br/>
      </w:r>
      <w:r>
        <w:br/>
      </w:r>
      <w:r>
        <w:br/>
      </w:r>
      <w:r>
        <w:br/>
      </w:r>
      <w:r>
        <w:br/>
      </w:r>
      <w:r>
        <w:br/>
      </w:r>
      <w:r>
        <w:br/>
      </w:r>
      <w:r>
        <w:br/>
      </w:r>
      <w:r>
        <w:br/>
      </w:r>
      <w:r>
        <w:br/>
      </w:r>
      <w:r>
        <w:br/>
      </w:r>
      <w:r>
        <w:br/>
      </w:r>
      <w:r>
        <w:br/>
      </w:r>
      <w:r>
        <w:br/>
      </w:r>
      <w:r>
        <w:rPr>
          <w:rFonts w:ascii="Calibri" w:hAnsi="Calibri"/>
          <w:i/>
          <w:color w:val="54207A"/>
          <w:sz w:val="24"/>
        </w:rPr>
        <w:t>For citizens who believe compassion and independence should strengthen one another.</w:t>
      </w:r>
    </w:p>
    <w:p>
      <w:r>
        <w:br w:type="page"/>
      </w:r>
    </w:p>
    <w:p>
      <w:pPr>
        <w:pStyle w:val="Heading1"/>
      </w:pPr>
      <w:r>
        <w:t>A Note to the Reader</w:t>
      </w:r>
    </w:p>
    <w:p>
      <w:pPr>
        <w:keepNext w:val="0"/>
        <w:widowControl/>
        <w:spacing w:before="0" w:after="160" w:line="320" w:lineRule="auto"/>
        <w:ind w:firstLine="360"/>
      </w:pPr>
      <w:r>
        <w:rPr>
          <w:rFonts w:ascii="Calibri" w:hAnsi="Calibri"/>
          <w:color w:val="202027"/>
          <w:sz w:val="22"/>
        </w:rPr>
        <w:t>This is a work of political advocacy and institutional design. It compares the published goals of the Democratic Socialists of America with the Purple Way, a framework created by Rustin Penland. DSA positions are described from its own current materials wherever possible. The Purple Way is described as a proposal: some mechanisms are ready for pilots, while others require legislation, legal review, economic modeling, and public consent.</w:t>
      </w:r>
    </w:p>
    <w:p>
      <w:pPr>
        <w:keepNext w:val="0"/>
        <w:widowControl/>
        <w:spacing w:before="0" w:after="160" w:line="320" w:lineRule="auto"/>
        <w:ind w:firstLine="360"/>
      </w:pPr>
      <w:r>
        <w:rPr>
          <w:rFonts w:ascii="Calibri" w:hAnsi="Calibri"/>
          <w:color w:val="202027"/>
          <w:sz w:val="22"/>
        </w:rPr>
        <w:t xml:space="preserve">The argument is deliberately direct. It does not claim that DSA supporters lack compassion, nor does it claim that every market outcome is just. It asks a harder question: </w:t>
      </w:r>
      <w:r>
        <w:rPr>
          <w:rFonts w:ascii="Calibri" w:hAnsi="Calibri"/>
          <w:b/>
          <w:color w:val="202027"/>
          <w:sz w:val="22"/>
        </w:rPr>
        <w:t>after help is delivered, what durable power remains in the hands of the person who received it?</w:t>
      </w:r>
      <w:r>
        <w:rPr>
          <w:rFonts w:ascii="Calibri" w:hAnsi="Calibri"/>
          <w:color w:val="202027"/>
          <w:sz w:val="22"/>
        </w:rPr>
        <w:t xml:space="preserve"> The Purple Way calls that remaining power human capital.</w:t>
      </w:r>
    </w:p>
    <w:p>
      <w:pPr>
        <w:keepNext w:val="0"/>
        <w:widowControl/>
        <w:spacing w:before="0" w:after="160" w:line="320" w:lineRule="auto"/>
        <w:ind w:firstLine="360"/>
      </w:pPr>
      <w:r>
        <w:rPr>
          <w:rFonts w:ascii="Calibri" w:hAnsi="Calibri"/>
          <w:color w:val="202027"/>
          <w:sz w:val="22"/>
        </w:rPr>
        <w:t>The book also draws an important boundary around monetary claims. A government cannot safely command lower prices merely by contracting the money supply. Severe contraction can destroy employment and businesses. The Purple Way therefore aims first at productive abundance, lower recurring costs, stronger household balance sheets, and less emergency dependence. Those changes may reduce inflationary pressure and allow some real or nominal prices to fall, but they must be measured rather than promised.</w:t>
      </w:r>
    </w:p>
    <w:p>
      <w:pPr>
        <w:spacing w:before="120" w:after="240" w:line="288" w:lineRule="auto"/>
        <w:ind w:left="346" w:right="173"/>
        <w:shd w:fill="F4EFF8"/>
        <w:pBdr>
          <w:left w:val="single" w:sz="18" w:space="8" w:color="C6A24A"/>
        </w:pBdr>
      </w:pPr>
      <w:r>
        <w:rPr>
          <w:rFonts w:ascii="Calibri" w:hAnsi="Calibri"/>
          <w:b/>
          <w:color w:val="321447"/>
          <w:sz w:val="22"/>
        </w:rPr>
        <w:t xml:space="preserve">Central standard: </w:t>
      </w:r>
      <w:r>
        <w:rPr>
          <w:rFonts w:ascii="Calibri" w:hAnsi="Calibri"/>
          <w:color w:val="202027"/>
          <w:sz w:val="22"/>
        </w:rPr>
        <w:t>A good system should protect people in crisis, enlarge their capacity, preserve their liberty, and reduce the need to rescue the same problem again.</w:t>
      </w:r>
    </w:p>
    <w:p>
      <w:r>
        <w:br w:type="page"/>
      </w:r>
    </w:p>
    <w:p>
      <w:pPr>
        <w:pStyle w:val="Heading1"/>
      </w:pPr>
      <w:r>
        <w:t>Contents</w:t>
      </w:r>
    </w:p>
    <w:p>
      <w:pPr>
        <w:spacing w:after="100"/>
      </w:pPr>
      <w:r>
        <w:rPr>
          <w:rFonts w:ascii="Calibri" w:hAnsi="Calibri"/>
          <w:b/>
          <w:color w:val="C6A24A"/>
          <w:sz w:val="22"/>
        </w:rPr>
        <w:t xml:space="preserve">1. </w:t>
      </w:r>
      <w:r>
        <w:rPr>
          <w:rFonts w:ascii="Calibri" w:hAnsi="Calibri"/>
          <w:b/>
          <w:color w:val="321447"/>
          <w:sz w:val="23"/>
        </w:rPr>
        <w:t>The Choice Behind the Labels</w:t>
      </w:r>
    </w:p>
    <w:p>
      <w:pPr>
        <w:spacing w:after="100"/>
      </w:pPr>
      <w:r>
        <w:rPr>
          <w:rFonts w:ascii="Calibri" w:hAnsi="Calibri"/>
          <w:b/>
          <w:color w:val="C6A24A"/>
          <w:sz w:val="22"/>
        </w:rPr>
        <w:t xml:space="preserve">2. </w:t>
      </w:r>
      <w:r>
        <w:rPr>
          <w:rFonts w:ascii="Calibri" w:hAnsi="Calibri"/>
          <w:b/>
          <w:color w:val="321447"/>
          <w:sz w:val="23"/>
        </w:rPr>
        <w:t>What DSA Gets Right</w:t>
      </w:r>
    </w:p>
    <w:p>
      <w:pPr>
        <w:spacing w:after="100"/>
      </w:pPr>
      <w:r>
        <w:rPr>
          <w:rFonts w:ascii="Calibri" w:hAnsi="Calibri"/>
          <w:b/>
          <w:color w:val="C6A24A"/>
          <w:sz w:val="22"/>
        </w:rPr>
        <w:t xml:space="preserve">3. </w:t>
      </w:r>
      <w:r>
        <w:rPr>
          <w:rFonts w:ascii="Calibri" w:hAnsi="Calibri"/>
          <w:b/>
          <w:color w:val="321447"/>
          <w:sz w:val="23"/>
        </w:rPr>
        <w:t>Where Democratic Socialism Stops Short</w:t>
      </w:r>
    </w:p>
    <w:p>
      <w:pPr>
        <w:spacing w:after="100"/>
      </w:pPr>
      <w:r>
        <w:rPr>
          <w:rFonts w:ascii="Calibri" w:hAnsi="Calibri"/>
          <w:b/>
          <w:color w:val="C6A24A"/>
          <w:sz w:val="22"/>
        </w:rPr>
        <w:t xml:space="preserve">4. </w:t>
      </w:r>
      <w:r>
        <w:rPr>
          <w:rFonts w:ascii="Calibri" w:hAnsi="Calibri"/>
          <w:b/>
          <w:color w:val="321447"/>
          <w:sz w:val="23"/>
        </w:rPr>
        <w:t>The Purple Way and True Capital</w:t>
      </w:r>
    </w:p>
    <w:p>
      <w:pPr>
        <w:spacing w:after="100"/>
      </w:pPr>
      <w:r>
        <w:rPr>
          <w:rFonts w:ascii="Calibri" w:hAnsi="Calibri"/>
          <w:b/>
          <w:color w:val="C6A24A"/>
          <w:sz w:val="22"/>
        </w:rPr>
        <w:t xml:space="preserve">5. </w:t>
      </w:r>
      <w:r>
        <w:rPr>
          <w:rFonts w:ascii="Calibri" w:hAnsi="Calibri"/>
          <w:b/>
          <w:color w:val="321447"/>
          <w:sz w:val="23"/>
        </w:rPr>
        <w:t>Transforming Kindness</w:t>
      </w:r>
    </w:p>
    <w:p>
      <w:pPr>
        <w:spacing w:after="100"/>
      </w:pPr>
      <w:r>
        <w:rPr>
          <w:rFonts w:ascii="Calibri" w:hAnsi="Calibri"/>
          <w:b/>
          <w:color w:val="C6A24A"/>
          <w:sz w:val="22"/>
        </w:rPr>
        <w:t xml:space="preserve">6. </w:t>
      </w:r>
      <w:r>
        <w:rPr>
          <w:rFonts w:ascii="Calibri" w:hAnsi="Calibri"/>
          <w:b/>
          <w:color w:val="321447"/>
          <w:sz w:val="23"/>
        </w:rPr>
        <w:t>Public-Benefit Exchange and the Statesman Contract</w:t>
      </w:r>
    </w:p>
    <w:p>
      <w:pPr>
        <w:spacing w:after="100"/>
      </w:pPr>
      <w:r>
        <w:rPr>
          <w:rFonts w:ascii="Calibri" w:hAnsi="Calibri"/>
          <w:b/>
          <w:color w:val="C6A24A"/>
          <w:sz w:val="22"/>
        </w:rPr>
        <w:t xml:space="preserve">7. </w:t>
      </w:r>
      <w:r>
        <w:rPr>
          <w:rFonts w:ascii="Calibri" w:hAnsi="Calibri"/>
          <w:b/>
          <w:color w:val="321447"/>
          <w:sz w:val="23"/>
        </w:rPr>
        <w:t>Profit With a Public Purpose</w:t>
      </w:r>
    </w:p>
    <w:p>
      <w:pPr>
        <w:spacing w:after="100"/>
      </w:pPr>
      <w:r>
        <w:rPr>
          <w:rFonts w:ascii="Calibri" w:hAnsi="Calibri"/>
          <w:b/>
          <w:color w:val="C6A24A"/>
          <w:sz w:val="22"/>
        </w:rPr>
        <w:t xml:space="preserve">8. </w:t>
      </w:r>
      <w:r>
        <w:rPr>
          <w:rFonts w:ascii="Calibri" w:hAnsi="Calibri"/>
          <w:b/>
          <w:color w:val="321447"/>
          <w:sz w:val="23"/>
        </w:rPr>
        <w:t>Work, Wages, Skills, and Ownership</w:t>
      </w:r>
    </w:p>
    <w:p>
      <w:pPr>
        <w:spacing w:after="100"/>
      </w:pPr>
      <w:r>
        <w:rPr>
          <w:rFonts w:ascii="Calibri" w:hAnsi="Calibri"/>
          <w:b/>
          <w:color w:val="C6A24A"/>
          <w:sz w:val="22"/>
        </w:rPr>
        <w:t xml:space="preserve">9. </w:t>
      </w:r>
      <w:r>
        <w:rPr>
          <w:rFonts w:ascii="Calibri" w:hAnsi="Calibri"/>
          <w:b/>
          <w:color w:val="321447"/>
          <w:sz w:val="23"/>
        </w:rPr>
        <w:t>The Cost of Living and Monetary Pressure</w:t>
      </w:r>
    </w:p>
    <w:p>
      <w:pPr>
        <w:spacing w:after="100"/>
      </w:pPr>
      <w:r>
        <w:rPr>
          <w:rFonts w:ascii="Calibri" w:hAnsi="Calibri"/>
          <w:b/>
          <w:color w:val="C6A24A"/>
          <w:sz w:val="22"/>
        </w:rPr>
        <w:t xml:space="preserve">10. </w:t>
      </w:r>
      <w:r>
        <w:rPr>
          <w:rFonts w:ascii="Calibri" w:hAnsi="Calibri"/>
          <w:b/>
          <w:color w:val="321447"/>
          <w:sz w:val="23"/>
        </w:rPr>
        <w:t>Healthcare, Housing, Food, and Energy</w:t>
      </w:r>
    </w:p>
    <w:p>
      <w:pPr>
        <w:spacing w:after="100"/>
      </w:pPr>
      <w:r>
        <w:rPr>
          <w:rFonts w:ascii="Calibri" w:hAnsi="Calibri"/>
          <w:b/>
          <w:color w:val="C6A24A"/>
          <w:sz w:val="22"/>
        </w:rPr>
        <w:t xml:space="preserve">11. </w:t>
      </w:r>
      <w:r>
        <w:rPr>
          <w:rFonts w:ascii="Calibri" w:hAnsi="Calibri"/>
          <w:b/>
          <w:color w:val="321447"/>
          <w:sz w:val="23"/>
        </w:rPr>
        <w:t>Democracy, Liberty, and Constitutional Restraint</w:t>
      </w:r>
    </w:p>
    <w:p>
      <w:pPr>
        <w:spacing w:after="100"/>
      </w:pPr>
      <w:r>
        <w:rPr>
          <w:rFonts w:ascii="Calibri" w:hAnsi="Calibri"/>
          <w:b/>
          <w:color w:val="C6A24A"/>
          <w:sz w:val="22"/>
        </w:rPr>
        <w:t xml:space="preserve">12. </w:t>
      </w:r>
      <w:r>
        <w:rPr>
          <w:rFonts w:ascii="Calibri" w:hAnsi="Calibri"/>
          <w:b/>
          <w:color w:val="321447"/>
          <w:sz w:val="23"/>
        </w:rPr>
        <w:t>A Fair Head-to-Head Comparison</w:t>
      </w:r>
    </w:p>
    <w:p>
      <w:pPr>
        <w:spacing w:after="100"/>
      </w:pPr>
      <w:r>
        <w:rPr>
          <w:rFonts w:ascii="Calibri" w:hAnsi="Calibri"/>
          <w:b/>
          <w:color w:val="C6A24A"/>
          <w:sz w:val="22"/>
        </w:rPr>
        <w:t xml:space="preserve">13. </w:t>
      </w:r>
      <w:r>
        <w:rPr>
          <w:rFonts w:ascii="Calibri" w:hAnsi="Calibri"/>
          <w:b/>
          <w:color w:val="321447"/>
          <w:sz w:val="23"/>
        </w:rPr>
        <w:t>From Philosophy to Government</w:t>
      </w:r>
    </w:p>
    <w:p>
      <w:pPr>
        <w:spacing w:after="100"/>
      </w:pPr>
      <w:r>
        <w:rPr>
          <w:rFonts w:ascii="Calibri" w:hAnsi="Calibri"/>
          <w:b/>
          <w:color w:val="C6A24A"/>
          <w:sz w:val="22"/>
        </w:rPr>
        <w:t xml:space="preserve">14. </w:t>
      </w:r>
      <w:r>
        <w:rPr>
          <w:rFonts w:ascii="Calibri" w:hAnsi="Calibri"/>
          <w:b/>
          <w:color w:val="321447"/>
          <w:sz w:val="23"/>
        </w:rPr>
        <w:t>The Hard Objections</w:t>
      </w:r>
    </w:p>
    <w:p>
      <w:pPr>
        <w:spacing w:after="100"/>
      </w:pPr>
      <w:r>
        <w:rPr>
          <w:rFonts w:ascii="Calibri" w:hAnsi="Calibri"/>
          <w:b/>
          <w:color w:val="C6A24A"/>
          <w:sz w:val="22"/>
        </w:rPr>
        <w:t xml:space="preserve">15. </w:t>
      </w:r>
      <w:r>
        <w:rPr>
          <w:rFonts w:ascii="Calibri" w:hAnsi="Calibri"/>
          <w:b/>
          <w:color w:val="321447"/>
          <w:sz w:val="23"/>
        </w:rPr>
        <w:t>The Citizen's Choice</w:t>
      </w:r>
    </w:p>
    <w:p>
      <w:pPr>
        <w:spacing w:after="100"/>
      </w:pPr>
      <w:r>
        <w:rPr>
          <w:rFonts w:ascii="Calibri" w:hAnsi="Calibri"/>
          <w:b/>
          <w:color w:val="321447"/>
          <w:sz w:val="23"/>
        </w:rPr>
        <w:t>Independent AI Assessment</w:t>
      </w:r>
    </w:p>
    <w:p>
      <w:pPr>
        <w:spacing w:after="100"/>
      </w:pPr>
      <w:r>
        <w:rPr>
          <w:rFonts w:ascii="Calibri" w:hAnsi="Calibri"/>
          <w:b/>
          <w:color w:val="321447"/>
          <w:sz w:val="23"/>
        </w:rPr>
        <w:t>Appendices and Sources</w:t>
      </w:r>
    </w:p>
    <w:p>
      <w:r>
        <w:br w:type="page"/>
      </w:r>
    </w:p>
    <w:p>
      <w:pPr>
        <w:pStyle w:val="Heading1"/>
      </w:pPr>
      <w:r>
        <w:t>Preface: A Different Question</w:t>
      </w:r>
    </w:p>
    <w:p>
      <w:pPr>
        <w:keepNext w:val="0"/>
        <w:widowControl/>
        <w:spacing w:before="0" w:after="160" w:line="320" w:lineRule="auto"/>
        <w:ind w:firstLine="360"/>
      </w:pPr>
      <w:r>
        <w:rPr>
          <w:rFonts w:ascii="Calibri" w:hAnsi="Calibri"/>
          <w:color w:val="202027"/>
          <w:sz w:val="22"/>
        </w:rPr>
        <w:t xml:space="preserve">American politics usually asks who should distribute money and which group should control the machinery of government. The Purple Way asks a different question: </w:t>
      </w:r>
      <w:r>
        <w:rPr>
          <w:rFonts w:ascii="Calibri" w:hAnsi="Calibri"/>
          <w:b/>
          <w:color w:val="202027"/>
          <w:sz w:val="22"/>
        </w:rPr>
        <w:t>how can society build so much productive capacity inside people, families, neighborhoods, and enterprises that fewer lives must be stabilized by recurring rescue?</w:t>
      </w:r>
    </w:p>
    <w:p>
      <w:pPr>
        <w:keepNext w:val="0"/>
        <w:widowControl/>
        <w:spacing w:before="0" w:after="160" w:line="320" w:lineRule="auto"/>
        <w:ind w:firstLine="360"/>
      </w:pPr>
      <w:r>
        <w:rPr>
          <w:rFonts w:ascii="Calibri" w:hAnsi="Calibri"/>
          <w:color w:val="202027"/>
          <w:sz w:val="22"/>
        </w:rPr>
        <w:t>That question changes the meaning of compassion. Relief remains necessary. No civilized society should abandon a child, an older person, a disabled person, a sick person, or a family struck by disaster. But kindness is incomplete if it only pays the bill created by the same expensive system. The deeper kindness is to help a person gain health, knowledge, skill, savings, ownership, relationships, tools, and bargaining power - the assets that make tomorrow less fragile than today.</w:t>
      </w:r>
    </w:p>
    <w:p>
      <w:pPr>
        <w:keepNext w:val="0"/>
        <w:widowControl/>
        <w:spacing w:before="0" w:after="160" w:line="320" w:lineRule="auto"/>
        <w:ind w:firstLine="360"/>
      </w:pPr>
      <w:r>
        <w:rPr>
          <w:rFonts w:ascii="Calibri" w:hAnsi="Calibri"/>
          <w:color w:val="202027"/>
          <w:sz w:val="22"/>
        </w:rPr>
        <w:t xml:space="preserve">The Democratic Socialists of America offers a sweeping answer to inequality: move more resources, institutions, and economic power into collective and public control. Its current program calls for universal healthcare, social housing, rent control, tuition-free public higher education, debt cancellation, a shorter workweek without reduced pay, higher taxes on wealth, and major public ownership in energy and transportation. It also seeks major constitutional change and a political movement explicitly organized around the working class. </w:t>
      </w:r>
      <w:r>
        <w:rPr>
          <w:rFonts w:ascii="Calibri" w:hAnsi="Calibri"/>
          <w:b/>
          <w:color w:val="54207A"/>
          <w:sz w:val="16"/>
          <w:vertAlign w:val="superscript"/>
        </w:rPr>
        <w:t>[1]</w:t>
      </w:r>
      <w:r>
        <w:rPr>
          <w:rFonts w:ascii="Calibri" w:hAnsi="Calibri"/>
          <w:b/>
          <w:color w:val="54207A"/>
          <w:sz w:val="16"/>
          <w:vertAlign w:val="superscript"/>
        </w:rPr>
        <w:t>[2]</w:t>
      </w:r>
    </w:p>
    <w:p>
      <w:pPr>
        <w:keepNext w:val="0"/>
        <w:widowControl/>
        <w:spacing w:before="0" w:after="160" w:line="320" w:lineRule="auto"/>
        <w:ind w:firstLine="360"/>
      </w:pPr>
      <w:r>
        <w:rPr>
          <w:rFonts w:ascii="Calibri" w:hAnsi="Calibri"/>
          <w:color w:val="202027"/>
          <w:sz w:val="22"/>
        </w:rPr>
        <w:t>The Purple Way agrees that the red-and-blue establishment has failed too many people. It disagrees that the answer is to replace private concentration with political concentration. Its aim is dispersed power: more capable individuals, more owners, more producers, more competitive firms, lower recurring costs, and public contracts that pay for verified public benefit. Purple is not the midpoint between red and blue. It is a different operating system.</w:t>
      </w:r>
    </w:p>
    <w:p>
      <w:pPr>
        <w:spacing w:before="120" w:after="240" w:line="288" w:lineRule="auto"/>
        <w:ind w:left="346" w:right="173"/>
        <w:shd w:fill="F4EFF8"/>
        <w:pBdr>
          <w:left w:val="single" w:sz="18" w:space="8" w:color="C6A24A"/>
        </w:pBdr>
      </w:pPr>
      <w:r>
        <w:rPr>
          <w:rFonts w:ascii="Calibri" w:hAnsi="Calibri"/>
          <w:b/>
          <w:color w:val="321447"/>
          <w:sz w:val="22"/>
        </w:rPr>
        <w:t xml:space="preserve">The Purple proposition: </w:t>
      </w:r>
      <w:r>
        <w:rPr>
          <w:rFonts w:ascii="Calibri" w:hAnsi="Calibri"/>
          <w:color w:val="202027"/>
          <w:sz w:val="22"/>
        </w:rPr>
        <w:t>Do not measure a policy only by what it gives today. Measure it by what the recipient can produce, choose, save, own, and refuse tomorrow.</w:t>
      </w:r>
    </w:p>
    <w:p>
      <w:r>
        <w:br w:type="page"/>
      </w:r>
    </w:p>
    <w:p>
      <w:pPr>
        <w:spacing w:before="200" w:after="100"/>
      </w:pPr>
      <w:r>
        <w:rPr>
          <w:rFonts w:ascii="Calibri" w:hAnsi="Calibri"/>
          <w:b/>
          <w:smallCaps/>
          <w:color w:val="C6A24A"/>
          <w:sz w:val="20"/>
        </w:rPr>
        <w:t>CHAPTER ONE</w:t>
      </w:r>
    </w:p>
    <w:p>
      <w:pPr>
        <w:pStyle w:val="Heading1"/>
      </w:pPr>
      <w:r>
        <w:t>The Choice Behind the Labels</w:t>
      </w:r>
    </w:p>
    <w:p>
      <w:pPr>
        <w:keepNext/>
        <w:spacing w:after="360"/>
      </w:pPr>
      <w:r>
        <w:rPr>
          <w:rFonts w:ascii="Calibri" w:hAnsi="Calibri"/>
          <w:i/>
          <w:color w:val="66616B"/>
          <w:sz w:val="25"/>
        </w:rPr>
        <w:t>This is not left versus right. It is dependence management versus capability building.</w:t>
      </w:r>
    </w:p>
    <w:p>
      <w:pPr>
        <w:keepNext w:val="0"/>
        <w:widowControl/>
        <w:spacing w:before="0" w:after="160" w:line="320" w:lineRule="auto"/>
        <w:ind w:firstLine="360"/>
      </w:pPr>
      <w:r>
        <w:rPr>
          <w:rFonts w:ascii="Calibri" w:hAnsi="Calibri"/>
          <w:color w:val="202027"/>
          <w:sz w:val="22"/>
        </w:rPr>
        <w:t>The debate between the Purple Way and democratic socialism is easily misunderstood. If it becomes a contest between the words "capitalism" and "socialism," most readers will retreat to a familiar camp before examining either system. That would miss the real choice.</w:t>
      </w:r>
    </w:p>
    <w:p>
      <w:pPr>
        <w:keepNext w:val="0"/>
        <w:widowControl/>
        <w:spacing w:before="0" w:after="160" w:line="320" w:lineRule="auto"/>
        <w:ind w:firstLine="360"/>
      </w:pPr>
      <w:r>
        <w:rPr>
          <w:rFonts w:ascii="Calibri" w:hAnsi="Calibri"/>
          <w:color w:val="202027"/>
          <w:sz w:val="22"/>
        </w:rPr>
        <w:t xml:space="preserve">DSA says the central problem is capitalist ownership. Its official explanation argues that capitalism is designed by an owning class to exploit everyone else, and that key economic drivers should be collectively owned. Its 2025-2026 program describes a future in which the largest corporations are placed under public ownership and democratic control. </w:t>
      </w:r>
      <w:r>
        <w:rPr>
          <w:rFonts w:ascii="Calibri" w:hAnsi="Calibri"/>
          <w:b/>
          <w:color w:val="54207A"/>
          <w:sz w:val="16"/>
          <w:vertAlign w:val="superscript"/>
        </w:rPr>
        <w:t>[1]</w:t>
      </w:r>
      <w:r>
        <w:rPr>
          <w:rFonts w:ascii="Calibri" w:hAnsi="Calibri"/>
          <w:b/>
          <w:color w:val="54207A"/>
          <w:sz w:val="16"/>
          <w:vertAlign w:val="superscript"/>
        </w:rPr>
        <w:t>[2]</w:t>
      </w:r>
    </w:p>
    <w:p>
      <w:pPr>
        <w:keepNext w:val="0"/>
        <w:widowControl/>
        <w:spacing w:before="0" w:after="160" w:line="320" w:lineRule="auto"/>
        <w:ind w:firstLine="360"/>
      </w:pPr>
      <w:r>
        <w:rPr>
          <w:rFonts w:ascii="Calibri" w:hAnsi="Calibri"/>
          <w:color w:val="202027"/>
          <w:sz w:val="22"/>
        </w:rPr>
        <w:t xml:space="preserve">The Purple Way says the deeper problem is </w:t>
      </w:r>
      <w:r>
        <w:rPr>
          <w:rFonts w:ascii="Calibri" w:hAnsi="Calibri"/>
          <w:b/>
          <w:color w:val="202027"/>
          <w:sz w:val="22"/>
        </w:rPr>
        <w:t>concentrated capability</w:t>
      </w:r>
      <w:r>
        <w:rPr>
          <w:rFonts w:ascii="Calibri" w:hAnsi="Calibri"/>
          <w:color w:val="202027"/>
          <w:sz w:val="22"/>
        </w:rPr>
        <w:t>. Some people and institutions possess knowledge, networks, financing, productive tools, and negotiating power, while millions possess too little. Government often responds by transferring money after the disadvantage has already produced high rent, high medical bills, weak savings, unstable work, and repeated crisis. Private markets can also fail when monopoly, fraud, exclusion, or short-term incentives allow powerful actors to profit from scarcity.</w:t>
      </w:r>
    </w:p>
    <w:p>
      <w:pPr>
        <w:keepNext w:val="0"/>
        <w:widowControl/>
        <w:spacing w:before="0" w:after="160" w:line="320" w:lineRule="auto"/>
        <w:ind w:firstLine="360"/>
      </w:pPr>
      <w:r>
        <w:rPr>
          <w:rFonts w:ascii="Calibri" w:hAnsi="Calibri"/>
          <w:color w:val="202027"/>
          <w:sz w:val="22"/>
        </w:rPr>
        <w:t>The Purple answer is neither laissez-faire abandonment nor state ownership as a default. It is to make the creation and distribution of productive capacity the first job of public policy. Government protects a secure floor, establishes fair rules, and uses transparent contracts to reward private, nonprofit, cooperative, and public actors when they measurably lower recurring costs or build durable human assets.</w:t>
      </w:r>
    </w:p>
    <w:p>
      <w:pPr>
        <w:pStyle w:val="Heading2"/>
      </w:pPr>
      <w:r>
        <w:t>Two different definitions of power</w:t>
      </w:r>
    </w:p>
    <w:p>
      <w:pPr>
        <w:keepNext w:val="0"/>
        <w:widowControl/>
        <w:spacing w:before="0" w:after="160" w:line="320" w:lineRule="auto"/>
        <w:ind w:firstLine="360"/>
      </w:pPr>
      <w:r>
        <w:rPr>
          <w:rFonts w:ascii="Calibri" w:hAnsi="Calibri"/>
          <w:color w:val="202027"/>
          <w:sz w:val="22"/>
        </w:rPr>
        <w:t>Democratic socialism tends to define power as collective control over institutions. Purple defines power as the practical ability of a person or community to act without asking permission from a monopoly, a political office, a permanent program, or a predatory lender. These definitions overlap, but they are not the same.</w:t>
      </w:r>
    </w:p>
    <w:p>
      <w:pPr>
        <w:keepNext w:val="0"/>
        <w:widowControl/>
        <w:spacing w:before="0" w:after="160" w:line="320" w:lineRule="auto"/>
        <w:ind w:firstLine="360"/>
      </w:pPr>
      <w:r>
        <w:rPr>
          <w:rFonts w:ascii="Calibri" w:hAnsi="Calibri"/>
          <w:color w:val="202027"/>
          <w:sz w:val="22"/>
        </w:rPr>
        <w:t xml:space="preserve">A publicly controlled system can still leave a citizen waiting in line, unable to choose, unable to build an asset, or afraid that a political change will remove access. A private system can likewise trap people through price, debt, or market power. Purple therefore evaluates both public and private arrangements by the same question: </w:t>
      </w:r>
      <w:r>
        <w:rPr>
          <w:rFonts w:ascii="Calibri" w:hAnsi="Calibri"/>
          <w:b/>
          <w:color w:val="202027"/>
          <w:sz w:val="22"/>
        </w:rPr>
        <w:t>does this arrangement enlarge the citizen's durable capacity and exit power?</w:t>
      </w:r>
    </w:p>
    <w:p>
      <w:pPr>
        <w:pStyle w:val="Heading2"/>
      </w:pPr>
      <w:r>
        <w:t>The test of the better system</w:t>
      </w:r>
    </w:p>
    <w:p>
      <w:pPr>
        <w:keepNext w:val="0"/>
        <w:widowControl/>
        <w:spacing w:before="0" w:after="160" w:line="320" w:lineRule="auto"/>
        <w:ind w:firstLine="360"/>
      </w:pPr>
      <w:r>
        <w:rPr>
          <w:rFonts w:ascii="Calibri" w:hAnsi="Calibri"/>
          <w:color w:val="202027"/>
          <w:sz w:val="22"/>
        </w:rPr>
        <w:t>The better system is not the one with the warmest promise or the angriest diagnosis. It is the one that can pass six tests over time:</w:t>
      </w:r>
    </w:p>
    <w:p>
      <w:pPr>
        <w:pStyle w:val="ListBullet"/>
        <w:spacing w:after="80" w:line="290" w:lineRule="auto"/>
        <w:ind w:left="540" w:hanging="279"/>
      </w:pPr>
      <w:r>
        <w:rPr>
          <w:rFonts w:ascii="Calibri" w:hAnsi="Calibri"/>
          <w:color w:val="202027"/>
          <w:sz w:val="22"/>
        </w:rPr>
        <w:t>Capability: Does the person gain useful knowledge, health, skill, tools, or productive capacity?</w:t>
      </w:r>
    </w:p>
    <w:p>
      <w:pPr>
        <w:pStyle w:val="ListBullet"/>
        <w:spacing w:after="80" w:line="290" w:lineRule="auto"/>
        <w:ind w:left="540" w:hanging="279"/>
      </w:pPr>
      <w:r>
        <w:rPr>
          <w:rFonts w:ascii="Calibri" w:hAnsi="Calibri"/>
          <w:color w:val="202027"/>
          <w:sz w:val="22"/>
        </w:rPr>
        <w:t>Ownership: Does the person gain an asset, savings, equity, or a stronger claim on future income?</w:t>
      </w:r>
    </w:p>
    <w:p>
      <w:pPr>
        <w:pStyle w:val="ListBullet"/>
        <w:spacing w:after="80" w:line="290" w:lineRule="auto"/>
        <w:ind w:left="540" w:hanging="279"/>
      </w:pPr>
      <w:r>
        <w:rPr>
          <w:rFonts w:ascii="Calibri" w:hAnsi="Calibri"/>
          <w:color w:val="202027"/>
          <w:sz w:val="22"/>
        </w:rPr>
        <w:t>Cost: Does the intervention lower the recurring cost of living or merely subsidize it?</w:t>
      </w:r>
    </w:p>
    <w:p>
      <w:pPr>
        <w:pStyle w:val="ListBullet"/>
        <w:spacing w:after="80" w:line="290" w:lineRule="auto"/>
        <w:ind w:left="540" w:hanging="279"/>
      </w:pPr>
      <w:r>
        <w:rPr>
          <w:rFonts w:ascii="Calibri" w:hAnsi="Calibri"/>
          <w:color w:val="202027"/>
          <w:sz w:val="22"/>
        </w:rPr>
        <w:t>Liberty: Does the person retain meaningful choice, privacy, due process, and the ability to exit?</w:t>
      </w:r>
    </w:p>
    <w:p>
      <w:pPr>
        <w:pStyle w:val="ListBullet"/>
        <w:spacing w:after="80" w:line="290" w:lineRule="auto"/>
        <w:ind w:left="540" w:hanging="279"/>
      </w:pPr>
      <w:r>
        <w:rPr>
          <w:rFonts w:ascii="Calibri" w:hAnsi="Calibri"/>
          <w:color w:val="202027"/>
          <w:sz w:val="22"/>
        </w:rPr>
        <w:t>Scale: Can the system continue without unsustainable debt, hidden rationing, or permanent emergency financing?</w:t>
      </w:r>
    </w:p>
    <w:p>
      <w:pPr>
        <w:pStyle w:val="ListBullet"/>
        <w:spacing w:after="80" w:line="290" w:lineRule="auto"/>
        <w:ind w:left="540" w:hanging="279"/>
      </w:pPr>
      <w:r>
        <w:rPr>
          <w:rFonts w:ascii="Calibri" w:hAnsi="Calibri"/>
          <w:color w:val="202027"/>
          <w:sz w:val="22"/>
        </w:rPr>
        <w:t>Proof: Are results public, independently measured, and tied to consequences for failure?</w:t>
      </w:r>
    </w:p>
    <w:p>
      <w:pPr>
        <w:keepNext w:val="0"/>
        <w:widowControl/>
        <w:spacing w:before="0" w:after="160" w:line="320" w:lineRule="auto"/>
        <w:ind w:firstLine="360"/>
      </w:pPr>
      <w:r>
        <w:rPr>
          <w:rFonts w:ascii="Calibri" w:hAnsi="Calibri"/>
          <w:color w:val="202027"/>
          <w:sz w:val="22"/>
        </w:rPr>
        <w:t>On these tests, this book argues, the Purple Way is the better choice. That judgment is not a claim of perfection. It is a claim about direction: a system that builds dispersed productive power is safer, freer, and more durable than one that makes public control the main answer to concentrated private power.</w:t>
      </w:r>
    </w:p>
    <w:p>
      <w:r>
        <w:br w:type="page"/>
      </w:r>
    </w:p>
    <w:p>
      <w:pPr>
        <w:spacing w:before="200" w:after="100"/>
      </w:pPr>
      <w:r>
        <w:rPr>
          <w:rFonts w:ascii="Calibri" w:hAnsi="Calibri"/>
          <w:b/>
          <w:smallCaps/>
          <w:color w:val="C6A24A"/>
          <w:sz w:val="20"/>
        </w:rPr>
        <w:t>CHAPTER TWO</w:t>
      </w:r>
    </w:p>
    <w:p>
      <w:pPr>
        <w:pStyle w:val="Heading1"/>
      </w:pPr>
      <w:r>
        <w:t>What DSA Gets Right</w:t>
      </w:r>
    </w:p>
    <w:p>
      <w:pPr>
        <w:keepNext/>
        <w:spacing w:after="360"/>
      </w:pPr>
      <w:r>
        <w:rPr>
          <w:rFonts w:ascii="Calibri" w:hAnsi="Calibri"/>
          <w:i/>
          <w:color w:val="66616B"/>
          <w:sz w:val="25"/>
        </w:rPr>
        <w:t>A serious challenge begins by acknowledging the strongest case on the other side.</w:t>
      </w:r>
    </w:p>
    <w:p>
      <w:pPr>
        <w:keepNext w:val="0"/>
        <w:widowControl/>
        <w:spacing w:before="0" w:after="160" w:line="320" w:lineRule="auto"/>
        <w:ind w:firstLine="360"/>
      </w:pPr>
      <w:r>
        <w:rPr>
          <w:rFonts w:ascii="Calibri" w:hAnsi="Calibri"/>
          <w:color w:val="202027"/>
          <w:sz w:val="22"/>
        </w:rPr>
        <w:t>DSA speaks to real pain. Many working families face housing costs that rise faster than their sense of security. Medical treatment can be financially frightening. Education can create debt without guaranteeing a career. Workers may produce more value while feeling little control over schedule, pay, or stability. Wealth and political access are heavily concentrated. A movement that names these experiences will naturally attract people who believe the establishment has ignored them.</w:t>
      </w:r>
    </w:p>
    <w:p>
      <w:pPr>
        <w:keepNext w:val="0"/>
        <w:widowControl/>
        <w:spacing w:before="0" w:after="160" w:line="320" w:lineRule="auto"/>
        <w:ind w:firstLine="360"/>
      </w:pPr>
      <w:r>
        <w:rPr>
          <w:rFonts w:ascii="Calibri" w:hAnsi="Calibri"/>
          <w:color w:val="202027"/>
          <w:sz w:val="22"/>
        </w:rPr>
        <w:t xml:space="preserve">DSA also offers moral clarity. Its program treats healthcare and housing as rights, supports organized labor, calls for paid leave and childcare, and insists that public life should serve ordinary people rather than donors. These are not frivolous concerns. They reflect a legitimate demand for dignity and democratic accountability. </w:t>
      </w:r>
      <w:r>
        <w:rPr>
          <w:rFonts w:ascii="Calibri" w:hAnsi="Calibri"/>
          <w:b/>
          <w:color w:val="54207A"/>
          <w:sz w:val="16"/>
          <w:vertAlign w:val="superscript"/>
        </w:rPr>
        <w:t>[1]</w:t>
      </w:r>
    </w:p>
    <w:p>
      <w:pPr>
        <w:pStyle w:val="Heading2"/>
      </w:pPr>
      <w:r>
        <w:t>The strongest argument for DSA</w:t>
      </w:r>
    </w:p>
    <w:p>
      <w:pPr>
        <w:keepNext w:val="0"/>
        <w:widowControl/>
        <w:spacing w:before="0" w:after="160" w:line="320" w:lineRule="auto"/>
        <w:ind w:firstLine="360"/>
      </w:pPr>
      <w:r>
        <w:rPr>
          <w:rFonts w:ascii="Calibri" w:hAnsi="Calibri"/>
          <w:color w:val="202027"/>
          <w:sz w:val="22"/>
        </w:rPr>
        <w:t>The strongest case for democratic socialism is simple: essential needs should not depend on a person's bargaining power in a market that may be concentrated, confusing, or cruel. Universal systems can reduce the humiliation of means testing, spread risk broadly, and make benefits easier to understand. Collective bargaining can give workers countervailing power. Public investment can build infrastructure that private investors neglect.</w:t>
      </w:r>
    </w:p>
    <w:p>
      <w:pPr>
        <w:keepNext w:val="0"/>
        <w:widowControl/>
        <w:spacing w:before="0" w:after="160" w:line="320" w:lineRule="auto"/>
        <w:ind w:firstLine="360"/>
      </w:pPr>
      <w:r>
        <w:rPr>
          <w:rFonts w:ascii="Calibri" w:hAnsi="Calibri"/>
          <w:color w:val="202027"/>
          <w:sz w:val="22"/>
        </w:rPr>
        <w:t>Those strengths matter. Purple should not answer them with slogans about personal responsibility. A child did not design the neighborhood, school, food system, or family balance sheet into which he was born. A worker cannot individually bargain against every hospital network, utility, landlord, or national employer. Disability and age can permanently limit self-sufficiency. Markets need rules, and people need a floor.</w:t>
      </w:r>
    </w:p>
    <w:p>
      <w:pPr>
        <w:pStyle w:val="Heading2"/>
      </w:pPr>
      <w:r>
        <w:t>Agreement on the wound, disagreement on the cure</w:t>
      </w:r>
    </w:p>
    <w:p>
      <w:pPr>
        <w:keepNext w:val="0"/>
        <w:widowControl/>
        <w:spacing w:before="0" w:after="160" w:line="320" w:lineRule="auto"/>
        <w:ind w:firstLine="360"/>
      </w:pPr>
      <w:r>
        <w:rPr>
          <w:rFonts w:ascii="Calibri" w:hAnsi="Calibri"/>
          <w:color w:val="202027"/>
          <w:sz w:val="22"/>
        </w:rPr>
        <w:t>Purple agrees with DSA that the present order is not acceptable. It rejects the conclusion that the primary cure is public ownership, universal subsidy, or political control of economic decisions. Security delivered from above may relieve the symptom while leaving the citizen with no new productive asset. A rent cap may help an existing tenant yet discourage supply or shift costs elsewhere. A public benefit may be humane yet expand faster than the tax base that must support it. A national rule may protect one sector and damage another.</w:t>
      </w:r>
    </w:p>
    <w:p>
      <w:pPr>
        <w:keepNext w:val="0"/>
        <w:widowControl/>
        <w:spacing w:before="0" w:after="160" w:line="320" w:lineRule="auto"/>
        <w:ind w:firstLine="360"/>
      </w:pPr>
      <w:r>
        <w:rPr>
          <w:rFonts w:ascii="Calibri" w:hAnsi="Calibri"/>
          <w:color w:val="202027"/>
          <w:sz w:val="22"/>
        </w:rPr>
        <w:t xml:space="preserve">Evidence from San Francisco, for example, found that rent control reduced displacement for protected tenants but also induced affected landlords to reduce rental supply, likely increasing market rents over time. That does not prove every rent rule fails. It proves that immediate protection and long-run supply must be evaluated together. </w:t>
      </w:r>
      <w:r>
        <w:rPr>
          <w:rFonts w:ascii="Calibri" w:hAnsi="Calibri"/>
          <w:b/>
          <w:color w:val="54207A"/>
          <w:sz w:val="16"/>
          <w:vertAlign w:val="superscript"/>
        </w:rPr>
        <w:t>[10]</w:t>
      </w:r>
    </w:p>
    <w:p>
      <w:pPr>
        <w:spacing w:before="120" w:after="240" w:line="288" w:lineRule="auto"/>
        <w:ind w:left="346" w:right="173"/>
        <w:shd w:fill="F4EFF8"/>
        <w:pBdr>
          <w:left w:val="single" w:sz="18" w:space="8" w:color="C6A24A"/>
        </w:pBdr>
      </w:pPr>
      <w:r>
        <w:rPr>
          <w:rFonts w:ascii="Calibri" w:hAnsi="Calibri"/>
          <w:b/>
          <w:color w:val="321447"/>
          <w:sz w:val="22"/>
        </w:rPr>
        <w:t xml:space="preserve">Purple discipline: </w:t>
      </w:r>
      <w:r>
        <w:rPr>
          <w:rFonts w:ascii="Calibri" w:hAnsi="Calibri"/>
          <w:color w:val="202027"/>
          <w:sz w:val="22"/>
        </w:rPr>
        <w:t>Never confuse a morally worthy goal with proof that a particular delivery system will achieve it.</w:t>
      </w:r>
    </w:p>
    <w:p>
      <w:pPr>
        <w:keepNext w:val="0"/>
        <w:widowControl/>
        <w:spacing w:before="0" w:after="160" w:line="320" w:lineRule="auto"/>
        <w:ind w:firstLine="360"/>
      </w:pPr>
      <w:r>
        <w:rPr>
          <w:rFonts w:ascii="Calibri" w:hAnsi="Calibri"/>
          <w:color w:val="202027"/>
          <w:sz w:val="22"/>
        </w:rPr>
        <w:t xml:space="preserve">DSA deserves credit for forcing the country to discuss security, power, and dignity. The Purple Way accepts the challenge and proposes a higher standard: deliver security </w:t>
      </w:r>
      <w:r>
        <w:rPr>
          <w:rFonts w:ascii="Calibri" w:hAnsi="Calibri"/>
          <w:b/>
          <w:color w:val="202027"/>
          <w:sz w:val="22"/>
        </w:rPr>
        <w:t>and</w:t>
      </w:r>
      <w:r>
        <w:rPr>
          <w:rFonts w:ascii="Calibri" w:hAnsi="Calibri"/>
          <w:color w:val="202027"/>
          <w:sz w:val="22"/>
        </w:rPr>
        <w:t xml:space="preserve"> create the conditions under which more people can later stand on their own assets, skills, and relationships.</w:t>
      </w:r>
    </w:p>
    <w:p>
      <w:r>
        <w:br w:type="page"/>
      </w:r>
    </w:p>
    <w:p>
      <w:pPr>
        <w:spacing w:before="200" w:after="100"/>
      </w:pPr>
      <w:r>
        <w:rPr>
          <w:rFonts w:ascii="Calibri" w:hAnsi="Calibri"/>
          <w:b/>
          <w:smallCaps/>
          <w:color w:val="C6A24A"/>
          <w:sz w:val="20"/>
        </w:rPr>
        <w:t>CHAPTER THREE</w:t>
      </w:r>
    </w:p>
    <w:p>
      <w:pPr>
        <w:pStyle w:val="Heading1"/>
      </w:pPr>
      <w:r>
        <w:t>Where Democratic Socialism Stops Short</w:t>
      </w:r>
    </w:p>
    <w:p>
      <w:pPr>
        <w:keepNext/>
        <w:spacing w:after="360"/>
      </w:pPr>
      <w:r>
        <w:rPr>
          <w:rFonts w:ascii="Calibri" w:hAnsi="Calibri"/>
          <w:i/>
          <w:color w:val="66616B"/>
          <w:sz w:val="25"/>
        </w:rPr>
        <w:t>Coverage can protect a person without increasing the person's independent power.</w:t>
      </w:r>
    </w:p>
    <w:p>
      <w:pPr>
        <w:pStyle w:val="Heading2"/>
      </w:pPr>
      <w:r>
        <w:t>1. It mistakes administration for transformation</w:t>
      </w:r>
    </w:p>
    <w:p>
      <w:pPr>
        <w:keepNext w:val="0"/>
        <w:widowControl/>
        <w:spacing w:before="0" w:after="160" w:line="320" w:lineRule="auto"/>
        <w:ind w:firstLine="360"/>
      </w:pPr>
      <w:r>
        <w:rPr>
          <w:rFonts w:ascii="Calibri" w:hAnsi="Calibri"/>
          <w:color w:val="202027"/>
          <w:sz w:val="22"/>
        </w:rPr>
        <w:t>A program can enroll millions, spend billions, and still leave the underlying cost structure untouched. Paying a medical bill is not the same as making healthcare less expensive to produce. Subsidizing rent is not the same as producing more well-located housing. Canceling a debt is not the same as redesigning education so future students receive verified value at a sustainable price.</w:t>
      </w:r>
    </w:p>
    <w:p>
      <w:pPr>
        <w:keepNext w:val="0"/>
        <w:widowControl/>
        <w:spacing w:before="0" w:after="160" w:line="320" w:lineRule="auto"/>
        <w:ind w:firstLine="360"/>
      </w:pPr>
      <w:r>
        <w:rPr>
          <w:rFonts w:ascii="Calibri" w:hAnsi="Calibri"/>
          <w:color w:val="202027"/>
          <w:sz w:val="22"/>
        </w:rPr>
        <w:t xml:space="preserve">DSA's current program is clear about desired benefits, but it is much less specific about the operational tradeoffs: the tax rates, transition rules, capacity constraints, rationing risks, implementation sequence, and accountability structure that would turn the promises into a durable system. That is understandable in a political platform, but it is a serious limitation when the platform is offered as a governing model. </w:t>
      </w:r>
      <w:r>
        <w:rPr>
          <w:rFonts w:ascii="Calibri" w:hAnsi="Calibri"/>
          <w:b/>
          <w:color w:val="54207A"/>
          <w:sz w:val="16"/>
          <w:vertAlign w:val="superscript"/>
        </w:rPr>
        <w:t>[1]</w:t>
      </w:r>
    </w:p>
    <w:p>
      <w:pPr>
        <w:pStyle w:val="Heading2"/>
      </w:pPr>
      <w:r>
        <w:t>2. It treats ownership as if it guarantees performance</w:t>
      </w:r>
    </w:p>
    <w:p>
      <w:pPr>
        <w:keepNext w:val="0"/>
        <w:widowControl/>
        <w:spacing w:before="0" w:after="160" w:line="320" w:lineRule="auto"/>
        <w:ind w:firstLine="360"/>
      </w:pPr>
      <w:r>
        <w:rPr>
          <w:rFonts w:ascii="Calibri" w:hAnsi="Calibri"/>
          <w:color w:val="202027"/>
          <w:sz w:val="22"/>
        </w:rPr>
        <w:t>Public ownership may be appropriate for some natural monopolies, emergency services, or core infrastructure. But ownership does not automatically produce innovation, responsiveness, or cost discipline. A public enterprise can be captured by insiders, protected from competition, or measured by money spent rather than outcomes achieved. A private enterprise can do the same when it controls a market. Purple refuses to grant moral immunity to either form.</w:t>
      </w:r>
    </w:p>
    <w:p>
      <w:pPr>
        <w:pStyle w:val="Heading2"/>
      </w:pPr>
      <w:r>
        <w:t>3. It concentrates the remedy</w:t>
      </w:r>
    </w:p>
    <w:p>
      <w:pPr>
        <w:keepNext w:val="0"/>
        <w:widowControl/>
        <w:spacing w:before="0" w:after="160" w:line="320" w:lineRule="auto"/>
        <w:ind w:firstLine="360"/>
      </w:pPr>
      <w:r>
        <w:rPr>
          <w:rFonts w:ascii="Calibri" w:hAnsi="Calibri"/>
          <w:color w:val="202027"/>
          <w:sz w:val="22"/>
        </w:rPr>
        <w:t>DSA wants ordinary people to have more democratic control, but its remedies often move decisive power toward large public systems. That creates a paradox: the movement opposes concentrated private power by constructing concentrated political power. Elections provide accountability, but they do not give every citizen daily choice, easy exit, or protection from bureaucratic failure.</w:t>
      </w:r>
    </w:p>
    <w:p>
      <w:pPr>
        <w:pStyle w:val="Heading2"/>
      </w:pPr>
      <w:r>
        <w:t>4. It defines society through permanent class conflict</w:t>
      </w:r>
    </w:p>
    <w:p>
      <w:pPr>
        <w:keepNext w:val="0"/>
        <w:widowControl/>
        <w:spacing w:before="0" w:after="160" w:line="320" w:lineRule="auto"/>
        <w:ind w:firstLine="360"/>
      </w:pPr>
      <w:r>
        <w:rPr>
          <w:rFonts w:ascii="Calibri" w:hAnsi="Calibri"/>
          <w:color w:val="202027"/>
          <w:sz w:val="22"/>
        </w:rPr>
        <w:t xml:space="preserve">The DSA program describes the capitalist class and global system of capital as the enemy. </w:t>
      </w:r>
      <w:r>
        <w:rPr>
          <w:rFonts w:ascii="Calibri" w:hAnsi="Calibri"/>
          <w:b/>
          <w:color w:val="54207A"/>
          <w:sz w:val="16"/>
          <w:vertAlign w:val="superscript"/>
        </w:rPr>
        <w:t>[1]</w:t>
      </w:r>
      <w:r>
        <w:rPr>
          <w:rFonts w:ascii="Calibri" w:hAnsi="Calibri"/>
          <w:color w:val="202027"/>
          <w:sz w:val="22"/>
        </w:rPr>
        <w:t xml:space="preserve"> Purple recognizes exploitation and monopoly but rejects the idea that profit itself is proof of harm. Profit can reward scarcity, manipulation, and extraction; it can also reward invention, risk, speed, service, and lower costs. The public task is to change the payoff: make it more profitable to solve a public burden than to preserve it.</w:t>
      </w:r>
    </w:p>
    <w:p>
      <w:pPr>
        <w:pStyle w:val="Heading2"/>
      </w:pPr>
      <w:r>
        <w:t>5. It can protect consumption without expanding production</w:t>
      </w:r>
    </w:p>
    <w:p>
      <w:pPr>
        <w:keepNext w:val="0"/>
        <w:widowControl/>
        <w:spacing w:before="0" w:after="160" w:line="320" w:lineRule="auto"/>
        <w:ind w:firstLine="360"/>
      </w:pPr>
      <w:r>
        <w:rPr>
          <w:rFonts w:ascii="Calibri" w:hAnsi="Calibri"/>
          <w:color w:val="202027"/>
          <w:sz w:val="22"/>
        </w:rPr>
        <w:t xml:space="preserve">A society can redistribute claims on goods and services, but it cannot redistribute what has not been produced. Universal promises therefore require doctors, nurses, housing units, electricity, teachers, materials, maintenance, and productive workers. If demand is expanded faster than supply, the result can be shortages, queues, taxes, debt, or higher prices in uncontrolled sectors. The Federal Reserve itself explains that inflation reflects many factors and that demand relative to productive capacity is central to the transmission of monetary policy. </w:t>
      </w:r>
      <w:r>
        <w:rPr>
          <w:rFonts w:ascii="Calibri" w:hAnsi="Calibri"/>
          <w:b/>
          <w:color w:val="54207A"/>
          <w:sz w:val="16"/>
          <w:vertAlign w:val="superscript"/>
        </w:rPr>
        <w:t>[4]</w:t>
      </w:r>
      <w:r>
        <w:rPr>
          <w:rFonts w:ascii="Calibri" w:hAnsi="Calibri"/>
          <w:b/>
          <w:color w:val="54207A"/>
          <w:sz w:val="16"/>
          <w:vertAlign w:val="superscript"/>
        </w:rPr>
        <w:t>[5]</w:t>
      </w:r>
    </w:p>
    <w:p>
      <w:pPr>
        <w:pStyle w:val="Heading2"/>
      </w:pPr>
      <w:r>
        <w:t>6. Its most sweeping institutional changes are difficult to reverse</w:t>
      </w:r>
    </w:p>
    <w:p>
      <w:pPr>
        <w:keepNext w:val="0"/>
        <w:widowControl/>
        <w:spacing w:before="0" w:after="160" w:line="320" w:lineRule="auto"/>
        <w:ind w:firstLine="360"/>
      </w:pPr>
      <w:r>
        <w:rPr>
          <w:rFonts w:ascii="Calibri" w:hAnsi="Calibri"/>
          <w:color w:val="202027"/>
          <w:sz w:val="22"/>
        </w:rPr>
        <w:t xml:space="preserve">The current DSA program seeks a new democratic socialist republic, public control of major corporations, and substantial constitutional restructuring. Its online program calls for replacing or abolishing major features of the existing constitutional order. </w:t>
      </w:r>
      <w:r>
        <w:rPr>
          <w:rFonts w:ascii="Calibri" w:hAnsi="Calibri"/>
          <w:b/>
          <w:color w:val="54207A"/>
          <w:sz w:val="16"/>
          <w:vertAlign w:val="superscript"/>
        </w:rPr>
        <w:t>[1]</w:t>
      </w:r>
      <w:r>
        <w:rPr>
          <w:rFonts w:ascii="Calibri" w:hAnsi="Calibri"/>
          <w:color w:val="202027"/>
          <w:sz w:val="22"/>
        </w:rPr>
        <w:t xml:space="preserve"> Changes of that magnitude should face an exceptionally high burden of proof because mistakes would affect every citizen and could be difficult to unwind.</w:t>
      </w:r>
    </w:p>
    <w:p>
      <w:pPr>
        <w:keepNext w:val="0"/>
        <w:widowControl/>
        <w:spacing w:before="0" w:after="160" w:line="320" w:lineRule="auto"/>
        <w:ind w:firstLine="360"/>
      </w:pPr>
      <w:r>
        <w:rPr>
          <w:rFonts w:ascii="Calibri" w:hAnsi="Calibri"/>
          <w:color w:val="202027"/>
          <w:sz w:val="22"/>
        </w:rPr>
        <w:t>Purple prefers pilots, federalism, competition among models, sunset clauses, and reversible contracts. It seeks transformation through demonstrated performance, not a single leap into a new national ownership structure.</w:t>
      </w:r>
    </w:p>
    <w:p>
      <w:r>
        <w:br w:type="page"/>
      </w:r>
    </w:p>
    <w:p>
      <w:pPr>
        <w:spacing w:before="200" w:after="100"/>
      </w:pPr>
      <w:r>
        <w:rPr>
          <w:rFonts w:ascii="Calibri" w:hAnsi="Calibri"/>
          <w:b/>
          <w:smallCaps/>
          <w:color w:val="C6A24A"/>
          <w:sz w:val="20"/>
        </w:rPr>
        <w:t>CHAPTER FOUR</w:t>
      </w:r>
    </w:p>
    <w:p>
      <w:pPr>
        <w:pStyle w:val="Heading1"/>
      </w:pPr>
      <w:r>
        <w:t>The Purple Way and True Capital</w:t>
      </w:r>
    </w:p>
    <w:p>
      <w:pPr>
        <w:keepNext/>
        <w:spacing w:after="360"/>
      </w:pPr>
      <w:r>
        <w:rPr>
          <w:rFonts w:ascii="Calibri" w:hAnsi="Calibri"/>
          <w:i/>
          <w:color w:val="66616B"/>
          <w:sz w:val="25"/>
        </w:rPr>
        <w:t>Money is a claim on value. Human capacity is a source of value.</w:t>
      </w:r>
    </w:p>
    <w:p>
      <w:pPr>
        <w:keepNext w:val="0"/>
        <w:widowControl/>
        <w:spacing w:before="0" w:after="160" w:line="320" w:lineRule="auto"/>
        <w:ind w:firstLine="360"/>
      </w:pPr>
      <w:r>
        <w:rPr>
          <w:rFonts w:ascii="Calibri" w:hAnsi="Calibri"/>
          <w:color w:val="202027"/>
          <w:sz w:val="22"/>
        </w:rPr>
        <w:t>The Purple Way begins with a larger definition of capital. In conventional debate, capital usually means money, property, or ownership of a business. Those assets matter, but they are not the whole productive foundation of a nation. A person can possess little cash and still possess knowledge, health, trust, skill, discipline, tools, relationships, and the ability to solve valuable problems. Those capacities can generate income, lower costs, build institutions, and strengthen families.</w:t>
      </w:r>
    </w:p>
    <w:p>
      <w:pPr>
        <w:spacing w:before="120" w:after="240" w:line="288" w:lineRule="auto"/>
        <w:ind w:left="346" w:right="173"/>
        <w:shd w:fill="F4EFF8"/>
        <w:pBdr>
          <w:left w:val="single" w:sz="18" w:space="8" w:color="C6A24A"/>
        </w:pBdr>
      </w:pPr>
      <w:r>
        <w:rPr>
          <w:rFonts w:ascii="Calibri" w:hAnsi="Calibri"/>
          <w:b/>
          <w:color w:val="321447"/>
          <w:sz w:val="22"/>
        </w:rPr>
        <w:t xml:space="preserve">Core doctrine: </w:t>
      </w:r>
      <w:r>
        <w:rPr>
          <w:rFonts w:ascii="Calibri" w:hAnsi="Calibri"/>
          <w:color w:val="202027"/>
          <w:sz w:val="22"/>
        </w:rPr>
        <w:t>The true capital of a country is the productive capacity carried by its people.</w:t>
      </w:r>
    </w:p>
    <w:p>
      <w:pPr>
        <w:pStyle w:val="Heading2"/>
      </w:pPr>
      <w:r>
        <w:t>Six forms of human capital</w:t>
      </w:r>
    </w:p>
    <w:p>
      <w:pPr>
        <w:pStyle w:val="ListBullet"/>
        <w:spacing w:after="80" w:line="290" w:lineRule="auto"/>
        <w:ind w:left="540" w:hanging="279"/>
      </w:pPr>
      <w:r>
        <w:rPr>
          <w:rFonts w:ascii="Calibri" w:hAnsi="Calibri"/>
          <w:color w:val="202027"/>
          <w:sz w:val="22"/>
        </w:rPr>
        <w:t>Knowledge capital: literacy, technical understanding, judgment, civic knowledge, and the ability to keep learning.</w:t>
      </w:r>
    </w:p>
    <w:p>
      <w:pPr>
        <w:pStyle w:val="ListBullet"/>
        <w:spacing w:after="80" w:line="290" w:lineRule="auto"/>
        <w:ind w:left="540" w:hanging="279"/>
      </w:pPr>
      <w:r>
        <w:rPr>
          <w:rFonts w:ascii="Calibri" w:hAnsi="Calibri"/>
          <w:color w:val="202027"/>
          <w:sz w:val="22"/>
        </w:rPr>
        <w:t>Skill capital: practical competence that produces value in a workplace, enterprise, household, or community.</w:t>
      </w:r>
    </w:p>
    <w:p>
      <w:pPr>
        <w:pStyle w:val="ListBullet"/>
        <w:spacing w:after="80" w:line="290" w:lineRule="auto"/>
        <w:ind w:left="540" w:hanging="279"/>
      </w:pPr>
      <w:r>
        <w:rPr>
          <w:rFonts w:ascii="Calibri" w:hAnsi="Calibri"/>
          <w:color w:val="202027"/>
          <w:sz w:val="22"/>
        </w:rPr>
        <w:t>Health capital: physical and mental capacity that preserves energy, reliability, longevity, and choice.</w:t>
      </w:r>
    </w:p>
    <w:p>
      <w:pPr>
        <w:pStyle w:val="ListBullet"/>
        <w:spacing w:after="80" w:line="290" w:lineRule="auto"/>
        <w:ind w:left="540" w:hanging="279"/>
      </w:pPr>
      <w:r>
        <w:rPr>
          <w:rFonts w:ascii="Calibri" w:hAnsi="Calibri"/>
          <w:color w:val="202027"/>
          <w:sz w:val="22"/>
        </w:rPr>
        <w:t>Relationship capital: trusted networks, mentorship, family stability, professional reputation, and access to opportunity.</w:t>
      </w:r>
    </w:p>
    <w:p>
      <w:pPr>
        <w:pStyle w:val="ListBullet"/>
        <w:spacing w:after="80" w:line="290" w:lineRule="auto"/>
        <w:ind w:left="540" w:hanging="279"/>
      </w:pPr>
      <w:r>
        <w:rPr>
          <w:rFonts w:ascii="Calibri" w:hAnsi="Calibri"/>
          <w:color w:val="202027"/>
          <w:sz w:val="22"/>
        </w:rPr>
        <w:t>Ownership capital: savings, equity, tools, intellectual property, a home, or a stake in productive enterprise.</w:t>
      </w:r>
    </w:p>
    <w:p>
      <w:pPr>
        <w:pStyle w:val="ListBullet"/>
        <w:spacing w:after="80" w:line="290" w:lineRule="auto"/>
        <w:ind w:left="540" w:hanging="279"/>
      </w:pPr>
      <w:r>
        <w:rPr>
          <w:rFonts w:ascii="Calibri" w:hAnsi="Calibri"/>
          <w:color w:val="202027"/>
          <w:sz w:val="22"/>
        </w:rPr>
        <w:t>Civic capital: habits of cooperation, transparency, responsibility, and the ability to solve public problems without coercion.</w:t>
      </w:r>
    </w:p>
    <w:p>
      <w:pPr>
        <w:pStyle w:val="Heading2"/>
      </w:pPr>
      <w:r>
        <w:t>The nation as a bank with feet</w:t>
      </w:r>
    </w:p>
    <w:p>
      <w:pPr>
        <w:keepNext w:val="0"/>
        <w:widowControl/>
        <w:spacing w:before="0" w:after="160" w:line="320" w:lineRule="auto"/>
        <w:ind w:firstLine="360"/>
      </w:pPr>
      <w:r>
        <w:rPr>
          <w:rFonts w:ascii="Calibri" w:hAnsi="Calibri"/>
          <w:color w:val="202027"/>
          <w:sz w:val="22"/>
        </w:rPr>
        <w:t xml:space="preserve">Rustin Penland describes the nation as </w:t>
      </w:r>
      <w:r>
        <w:rPr>
          <w:rFonts w:ascii="Calibri" w:hAnsi="Calibri"/>
          <w:b/>
          <w:color w:val="202027"/>
          <w:sz w:val="22"/>
        </w:rPr>
        <w:t>a bank with feet</w:t>
      </w:r>
      <w:r>
        <w:rPr>
          <w:rFonts w:ascii="Calibri" w:hAnsi="Calibri"/>
          <w:color w:val="202027"/>
          <w:sz w:val="22"/>
        </w:rPr>
        <w:t>. The phrase means that productive value is not stored only in financial institutions or government accounts. It walks into a classroom, clinic, workshop, kitchen, farm, laboratory, and voting booth each day. When people become healthier, more skilled, better connected, and more capable of ownership, the country's balance sheet improves even if no new currency has been created.</w:t>
      </w:r>
    </w:p>
    <w:p>
      <w:pPr>
        <w:keepNext w:val="0"/>
        <w:widowControl/>
        <w:spacing w:before="0" w:after="160" w:line="320" w:lineRule="auto"/>
        <w:ind w:firstLine="360"/>
      </w:pPr>
      <w:r>
        <w:rPr>
          <w:rFonts w:ascii="Calibri" w:hAnsi="Calibri"/>
          <w:color w:val="202027"/>
          <w:sz w:val="22"/>
        </w:rPr>
        <w:t>This is why the Purple Way can be called Human Capital Conservatism. It is conservative because it protects liberty, constitutional limits, family and community responsibility, property, competition, and fiscal discipline. It is human-capital centered because it judges those institutions by whether they broaden the ability of ordinary people to participate, produce, save, and own.</w:t>
      </w:r>
    </w:p>
    <w:p>
      <w:pPr>
        <w:pStyle w:val="Heading2"/>
      </w:pPr>
      <w:r>
        <w:t>Purple is not a compromise color</w:t>
      </w:r>
    </w:p>
    <w:p>
      <w:pPr>
        <w:keepNext w:val="0"/>
        <w:widowControl/>
        <w:spacing w:before="0" w:after="160" w:line="320" w:lineRule="auto"/>
        <w:ind w:firstLine="360"/>
      </w:pPr>
      <w:r>
        <w:rPr>
          <w:rFonts w:ascii="Calibri" w:hAnsi="Calibri"/>
          <w:color w:val="202027"/>
          <w:sz w:val="22"/>
        </w:rPr>
        <w:t xml:space="preserve">Purple does not mean splitting the difference between a red program and a blue program. A compromise might combine lower business taxes with larger transfer payments and leave the same expensive system intact. Purple changes the objective function. It asks every institution - public, private, nonprofit, cooperative, or household - to compete in a </w:t>
      </w:r>
      <w:r>
        <w:rPr>
          <w:rFonts w:ascii="Calibri" w:hAnsi="Calibri"/>
          <w:b/>
          <w:color w:val="202027"/>
          <w:sz w:val="22"/>
        </w:rPr>
        <w:t>race of transparency</w:t>
      </w:r>
      <w:r>
        <w:rPr>
          <w:rFonts w:ascii="Calibri" w:hAnsi="Calibri"/>
          <w:color w:val="202027"/>
          <w:sz w:val="22"/>
        </w:rPr>
        <w:t xml:space="preserve"> to create verified human capability and reduce recurring burdens.</w:t>
      </w:r>
    </w:p>
    <w:p>
      <w:pPr>
        <w:keepNext w:val="0"/>
        <w:widowControl/>
        <w:spacing w:before="0" w:after="160" w:line="320" w:lineRule="auto"/>
        <w:ind w:firstLine="360"/>
      </w:pPr>
      <w:r>
        <w:rPr>
          <w:rFonts w:ascii="Calibri" w:hAnsi="Calibri"/>
          <w:color w:val="202027"/>
          <w:sz w:val="22"/>
        </w:rPr>
        <w:t>This is a plural system. Public agencies can win when they perform. Private companies can profit when they perform. Cooperatives can compete. Nonprofits can serve. Families and individuals retain choice. The state protects rights, finances a secure floor, publishes results, enforces competition, and refuses to pay indefinitely for failure.</w:t>
      </w:r>
    </w:p>
    <w:p>
      <w:r>
        <w:br w:type="page"/>
      </w:r>
    </w:p>
    <w:p>
      <w:pPr>
        <w:spacing w:before="200" w:after="100"/>
      </w:pPr>
      <w:r>
        <w:rPr>
          <w:rFonts w:ascii="Calibri" w:hAnsi="Calibri"/>
          <w:b/>
          <w:smallCaps/>
          <w:color w:val="C6A24A"/>
          <w:sz w:val="20"/>
        </w:rPr>
        <w:t>CHAPTER FIVE</w:t>
      </w:r>
    </w:p>
    <w:p>
      <w:pPr>
        <w:pStyle w:val="Heading1"/>
      </w:pPr>
      <w:r>
        <w:t>Transforming Kindness</w:t>
      </w:r>
    </w:p>
    <w:p>
      <w:pPr>
        <w:keepNext/>
        <w:spacing w:after="360"/>
      </w:pPr>
      <w:r>
        <w:rPr>
          <w:rFonts w:ascii="Calibri" w:hAnsi="Calibri"/>
          <w:i/>
          <w:color w:val="66616B"/>
          <w:sz w:val="25"/>
        </w:rPr>
        <w:t>A secure floor is humane. A staircase to capability makes that kindness durable.</w:t>
      </w:r>
    </w:p>
    <w:p>
      <w:pPr>
        <w:keepNext w:val="0"/>
        <w:widowControl/>
        <w:spacing w:before="0" w:after="160" w:line="320" w:lineRule="auto"/>
        <w:ind w:firstLine="360"/>
      </w:pPr>
      <w:r>
        <w:rPr>
          <w:rFonts w:ascii="Calibri" w:hAnsi="Calibri"/>
          <w:color w:val="202027"/>
          <w:sz w:val="22"/>
        </w:rPr>
        <w:t>The moral heart of the Purple Way is transforming kindness. Traditional politics often treats kindness as the amount transferred to a person in need. Purple does not dismiss that transfer. Food, shelter, medical care, safety, and cash assistance can be essential. But a compassionate system should also ask what changes because help was given.</w:t>
      </w:r>
    </w:p>
    <w:p>
      <w:pPr>
        <w:pStyle w:val="Heading2"/>
      </w:pPr>
      <w:r>
        <w:t>The floor and the staircase</w:t>
      </w:r>
    </w:p>
    <w:p>
      <w:pPr>
        <w:keepNext w:val="0"/>
        <w:widowControl/>
        <w:spacing w:before="0" w:after="160" w:line="320" w:lineRule="auto"/>
        <w:ind w:firstLine="360"/>
      </w:pPr>
      <w:r>
        <w:rPr>
          <w:rFonts w:ascii="Calibri" w:hAnsi="Calibri"/>
          <w:color w:val="202027"/>
          <w:sz w:val="22"/>
        </w:rPr>
        <w:t xml:space="preserve">The Purple system has two inseparable parts. The </w:t>
      </w:r>
      <w:r>
        <w:rPr>
          <w:rFonts w:ascii="Calibri" w:hAnsi="Calibri"/>
          <w:b/>
          <w:color w:val="202027"/>
          <w:sz w:val="22"/>
        </w:rPr>
        <w:t>floor</w:t>
      </w:r>
      <w:r>
        <w:rPr>
          <w:rFonts w:ascii="Calibri" w:hAnsi="Calibri"/>
          <w:color w:val="202027"/>
          <w:sz w:val="22"/>
        </w:rPr>
        <w:t xml:space="preserve"> protects people from destitution, abandonment, untreated illness, hunger, and preventable catastrophe. The </w:t>
      </w:r>
      <w:r>
        <w:rPr>
          <w:rFonts w:ascii="Calibri" w:hAnsi="Calibri"/>
          <w:b/>
          <w:color w:val="202027"/>
          <w:sz w:val="22"/>
        </w:rPr>
        <w:t>staircase</w:t>
      </w:r>
      <w:r>
        <w:rPr>
          <w:rFonts w:ascii="Calibri" w:hAnsi="Calibri"/>
          <w:color w:val="202027"/>
          <w:sz w:val="22"/>
        </w:rPr>
        <w:t xml:space="preserve"> helps those who can advance build the capabilities that reduce future dependence. Removing the floor creates cruelty. Omitting the staircase creates a permanent administrative relationship without a plan for greater power.</w:t>
      </w:r>
    </w:p>
    <w:p>
      <w:pPr>
        <w:keepNext w:val="0"/>
        <w:widowControl/>
        <w:spacing w:before="0" w:after="160" w:line="320" w:lineRule="auto"/>
        <w:ind w:firstLine="360"/>
      </w:pPr>
      <w:r>
        <w:rPr>
          <w:rFonts w:ascii="Calibri" w:hAnsi="Calibri"/>
          <w:color w:val="202027"/>
          <w:sz w:val="22"/>
        </w:rPr>
        <w:t>The staircase is not a punishment or a time limit imposed without regard to reality. It is a funded path: coaching, training, transportation, childcare, health support, tools, savings matches, apprenticeships, business formation, and access to ownership. For an older person or someone with profound disability, durable security itself may be the appropriate goal. Purple measures independence honestly; it does not pretend every life fits the same endpoint.</w:t>
      </w:r>
    </w:p>
    <w:p>
      <w:pPr>
        <w:pStyle w:val="Heading2"/>
      </w:pPr>
      <w:r>
        <w:t>From eligibility to capability</w:t>
      </w:r>
    </w:p>
    <w:p>
      <w:pPr>
        <w:keepNext w:val="0"/>
        <w:widowControl/>
        <w:spacing w:before="0" w:after="160" w:line="320" w:lineRule="auto"/>
        <w:ind w:firstLine="360"/>
      </w:pPr>
      <w:r>
        <w:rPr>
          <w:rFonts w:ascii="Calibri" w:hAnsi="Calibri"/>
          <w:color w:val="202027"/>
          <w:sz w:val="22"/>
        </w:rPr>
        <w:t>A conventional benefit system asks, "Are you eligible?" A Purple system also asks, "What barrier keeps you from having more choice next year?" The answer may be a credential, a car repair, untreated dental pain, a criminal record eligible for expungement, weak credit, no emergency savings, inaccessible childcare, or a lack of professional relationships. The intervention should fit the barrier.</w:t>
      </w:r>
    </w:p>
    <w:p>
      <w:pPr>
        <w:pStyle w:val="Heading2"/>
      </w:pPr>
      <w:r>
        <w:t>The dignity of exit power</w:t>
      </w:r>
    </w:p>
    <w:p>
      <w:pPr>
        <w:keepNext w:val="0"/>
        <w:widowControl/>
        <w:spacing w:before="0" w:after="160" w:line="320" w:lineRule="auto"/>
        <w:ind w:firstLine="360"/>
      </w:pPr>
      <w:r>
        <w:rPr>
          <w:rFonts w:ascii="Calibri" w:hAnsi="Calibri"/>
          <w:color w:val="202027"/>
          <w:sz w:val="22"/>
        </w:rPr>
        <w:t>Exit power is the ability to leave a bad job, unsafe home, exploitative lender, failing program, or abusive relationship without immediate ruin. It grows when a person has savings, portable benefits, skills recognized by multiple employers, affordable essentials, and trusted people to call. DSA often seeks to protect a person through stronger collective institutions. Purple adds something essential: the person should also have portable assets that remain when the institution changes.</w:t>
      </w:r>
    </w:p>
    <w:p>
      <w:pPr>
        <w:spacing w:before="120" w:after="240" w:line="288" w:lineRule="auto"/>
        <w:ind w:left="346" w:right="173"/>
        <w:shd w:fill="F4EFF8"/>
        <w:pBdr>
          <w:left w:val="single" w:sz="18" w:space="8" w:color="C6A24A"/>
        </w:pBdr>
      </w:pPr>
      <w:r>
        <w:rPr>
          <w:rFonts w:ascii="Calibri" w:hAnsi="Calibri"/>
          <w:b/>
          <w:color w:val="321447"/>
          <w:sz w:val="22"/>
        </w:rPr>
        <w:t xml:space="preserve">A Purple promise: </w:t>
      </w:r>
      <w:r>
        <w:rPr>
          <w:rFonts w:ascii="Calibri" w:hAnsi="Calibri"/>
          <w:color w:val="202027"/>
          <w:sz w:val="22"/>
        </w:rPr>
        <w:t>Every dollar of support should, where possible, buy two things: relief from today's danger and more power over tomorrow.</w:t>
      </w:r>
    </w:p>
    <w:p>
      <w:pPr>
        <w:pStyle w:val="Heading2"/>
      </w:pPr>
      <w:r>
        <w:t>Measure the transformation</w:t>
      </w:r>
    </w:p>
    <w:p>
      <w:pPr>
        <w:keepNext w:val="0"/>
        <w:widowControl/>
        <w:spacing w:before="0" w:after="160" w:line="320" w:lineRule="auto"/>
        <w:ind w:firstLine="360"/>
      </w:pPr>
      <w:r>
        <w:rPr>
          <w:rFonts w:ascii="Calibri" w:hAnsi="Calibri"/>
          <w:color w:val="202027"/>
          <w:sz w:val="22"/>
        </w:rPr>
        <w:t>Programs should report more than enrollment and spending. They should report emergency savings, debt reduction, wage progression, credentials completed, employment retention, business formation, health markers, housing stability, energy burden, ownership, and the share of participants who no longer need the same intervention. These measures must be adjusted for disability, local conditions, and economic shocks so agencies do not avoid serving people with harder needs.</w:t>
      </w:r>
    </w:p>
    <w:p>
      <w:r>
        <w:br w:type="page"/>
      </w:r>
    </w:p>
    <w:p>
      <w:pPr>
        <w:spacing w:before="200" w:after="100"/>
      </w:pPr>
      <w:r>
        <w:rPr>
          <w:rFonts w:ascii="Calibri" w:hAnsi="Calibri"/>
          <w:b/>
          <w:smallCaps/>
          <w:color w:val="C6A24A"/>
          <w:sz w:val="20"/>
        </w:rPr>
        <w:t>CHAPTER SIX</w:t>
      </w:r>
    </w:p>
    <w:p>
      <w:pPr>
        <w:pStyle w:val="Heading1"/>
      </w:pPr>
      <w:r>
        <w:t>Public-Benefit Exchange and the Statesman Contract</w:t>
      </w:r>
    </w:p>
    <w:p>
      <w:pPr>
        <w:keepNext/>
        <w:spacing w:after="360"/>
      </w:pPr>
      <w:r>
        <w:rPr>
          <w:rFonts w:ascii="Calibri" w:hAnsi="Calibri"/>
          <w:i/>
          <w:color w:val="66616B"/>
          <w:sz w:val="25"/>
        </w:rPr>
        <w:t>Use contracts to make public benefit profitable, measurable, competitive, and temporary.</w:t>
      </w:r>
    </w:p>
    <w:p>
      <w:pPr>
        <w:keepNext w:val="0"/>
        <w:widowControl/>
        <w:spacing w:before="0" w:after="160" w:line="320" w:lineRule="auto"/>
        <w:ind w:firstLine="360"/>
      </w:pPr>
      <w:r>
        <w:rPr>
          <w:rFonts w:ascii="Calibri" w:hAnsi="Calibri"/>
          <w:color w:val="202027"/>
          <w:sz w:val="22"/>
        </w:rPr>
        <w:t>The signature instrument of the Purple Way is the Statesman Contract, also called a Public-Benefit Contract. It is a transparent agreement in which a company, cooperative, nonprofit, or public entity receives value only in exchange for a verified public result. The result is defined before the agreement begins and measured by an independent scorekeeper.</w:t>
      </w:r>
    </w:p>
    <w:p>
      <w:pPr>
        <w:keepNext w:val="0"/>
        <w:widowControl/>
        <w:spacing w:before="0" w:after="160" w:line="320" w:lineRule="auto"/>
        <w:ind w:firstLine="360"/>
      </w:pPr>
      <w:r>
        <w:rPr>
          <w:rFonts w:ascii="Calibri" w:hAnsi="Calibri"/>
          <w:color w:val="202027"/>
          <w:sz w:val="22"/>
        </w:rPr>
        <w:t>This is not ordinary corporate welfare. It is not a private negotiation that socializes risk and privatizes reward. It is a public bargain with published terms, competitive entry, performance thresholds, audit rights, clawbacks, conflict disclosures, and an expiration date. Government does not pick a favored company and hope. It purchases a measurable result.</w:t>
      </w:r>
    </w:p>
    <w:p>
      <w:pPr>
        <w:pStyle w:val="Heading2"/>
      </w:pPr>
      <w:r>
        <w:t>The seven-step contract</w:t>
      </w:r>
    </w:p>
    <w:p>
      <w:pPr>
        <w:widowControl/>
        <w:numPr>
          <w:ilvl w:val="0"/>
          <w:numId w:val="10"/>
        </w:numPr>
        <w:spacing w:before="40" w:after="100" w:line="290" w:lineRule="auto"/>
        <w:ind w:left="540" w:hanging="279"/>
      </w:pPr>
      <w:r>
        <w:rPr>
          <w:rFonts w:ascii="Calibri" w:hAnsi="Calibri"/>
          <w:color w:val="202027"/>
          <w:sz w:val="22"/>
        </w:rPr>
        <w:t>Define the burden in human terms and unit cost: for example, household electricity burden, avoidable hospital use, or the delivered cost of nutritious food.</w:t>
      </w:r>
    </w:p>
    <w:p>
      <w:pPr>
        <w:widowControl/>
        <w:numPr>
          <w:ilvl w:val="0"/>
          <w:numId w:val="10"/>
        </w:numPr>
        <w:spacing w:before="40" w:after="100" w:line="290" w:lineRule="auto"/>
        <w:ind w:left="540" w:hanging="279"/>
      </w:pPr>
      <w:r>
        <w:rPr>
          <w:rFonts w:ascii="Calibri" w:hAnsi="Calibri"/>
          <w:color w:val="202027"/>
          <w:sz w:val="22"/>
        </w:rPr>
        <w:t>Publish the baseline, data method, affected population, legal authority, and maximum public exposure.</w:t>
      </w:r>
    </w:p>
    <w:p>
      <w:pPr>
        <w:widowControl/>
        <w:numPr>
          <w:ilvl w:val="0"/>
          <w:numId w:val="10"/>
        </w:numPr>
        <w:spacing w:before="40" w:after="100" w:line="290" w:lineRule="auto"/>
        <w:ind w:left="540" w:hanging="279"/>
      </w:pPr>
      <w:r>
        <w:rPr>
          <w:rFonts w:ascii="Calibri" w:hAnsi="Calibri"/>
          <w:color w:val="202027"/>
          <w:sz w:val="22"/>
        </w:rPr>
        <w:t>Invite competing proposals from private firms, cooperatives, nonprofits, and public providers.</w:t>
      </w:r>
    </w:p>
    <w:p>
      <w:pPr>
        <w:widowControl/>
        <w:numPr>
          <w:ilvl w:val="0"/>
          <w:numId w:val="10"/>
        </w:numPr>
        <w:spacing w:before="40" w:after="100" w:line="290" w:lineRule="auto"/>
        <w:ind w:left="540" w:hanging="279"/>
      </w:pPr>
      <w:r>
        <w:rPr>
          <w:rFonts w:ascii="Calibri" w:hAnsi="Calibri"/>
          <w:color w:val="202027"/>
          <w:sz w:val="22"/>
        </w:rPr>
        <w:t>Negotiate an exchange of value tied to outcomes, not political access or promises of activity.</w:t>
      </w:r>
    </w:p>
    <w:p>
      <w:pPr>
        <w:widowControl/>
        <w:numPr>
          <w:ilvl w:val="0"/>
          <w:numId w:val="10"/>
        </w:numPr>
        <w:spacing w:before="40" w:after="100" w:line="290" w:lineRule="auto"/>
        <w:ind w:left="540" w:hanging="279"/>
      </w:pPr>
      <w:r>
        <w:rPr>
          <w:rFonts w:ascii="Calibri" w:hAnsi="Calibri"/>
          <w:color w:val="202027"/>
          <w:sz w:val="22"/>
        </w:rPr>
        <w:t>Verify results through independent data, audits, and public reporting while protecting personal privacy.</w:t>
      </w:r>
    </w:p>
    <w:p>
      <w:pPr>
        <w:widowControl/>
        <w:numPr>
          <w:ilvl w:val="0"/>
          <w:numId w:val="10"/>
        </w:numPr>
        <w:spacing w:before="40" w:after="100" w:line="290" w:lineRule="auto"/>
        <w:ind w:left="540" w:hanging="279"/>
      </w:pPr>
      <w:r>
        <w:rPr>
          <w:rFonts w:ascii="Calibri" w:hAnsi="Calibri"/>
          <w:color w:val="202027"/>
          <w:sz w:val="22"/>
        </w:rPr>
        <w:t>Release compensation in stages; apply clawbacks, penalties, or termination when results are misstated or missed.</w:t>
      </w:r>
    </w:p>
    <w:p>
      <w:pPr>
        <w:widowControl/>
        <w:numPr>
          <w:ilvl w:val="0"/>
          <w:numId w:val="10"/>
        </w:numPr>
        <w:spacing w:before="40" w:after="100" w:line="290" w:lineRule="auto"/>
        <w:ind w:left="540" w:hanging="279"/>
      </w:pPr>
      <w:r>
        <w:rPr>
          <w:rFonts w:ascii="Calibri" w:hAnsi="Calibri"/>
          <w:color w:val="202027"/>
          <w:sz w:val="22"/>
        </w:rPr>
        <w:t>Rebid, scale, modify, or end the contract at a defined checkpoint. No permanent entitlement to the contractor.</w:t>
      </w:r>
    </w:p>
    <w:p>
      <w:pPr>
        <w:pStyle w:val="Heading2"/>
      </w:pPr>
      <w:r>
        <w:t>What may be exchanged</w:t>
      </w:r>
    </w:p>
    <w:p>
      <w:pPr>
        <w:keepNext w:val="0"/>
        <w:widowControl/>
        <w:spacing w:before="0" w:after="160" w:line="320" w:lineRule="auto"/>
        <w:ind w:firstLine="360"/>
      </w:pPr>
      <w:r>
        <w:rPr>
          <w:rFonts w:ascii="Calibri" w:hAnsi="Calibri"/>
          <w:color w:val="202027"/>
          <w:sz w:val="22"/>
        </w:rPr>
        <w:t>Value does not have to take the form of a simple appropriation. A government might offer access to a competitive long-term purchasing agreement, expedited but lawful permitting, use of public land, a share of verified savings, limited tax credits, workforce partnerships, infrastructure coordination, or rights to sell excess output. In return, the partner might deliver energy credits, reduced unit prices, training and ownership shares, infrastructure, or guaranteed service levels.</w:t>
      </w:r>
    </w:p>
    <w:p>
      <w:pPr>
        <w:keepNext w:val="0"/>
        <w:widowControl/>
        <w:spacing w:before="0" w:after="160" w:line="320" w:lineRule="auto"/>
        <w:ind w:firstLine="360"/>
      </w:pPr>
      <w:r>
        <w:rPr>
          <w:rFonts w:ascii="Calibri" w:hAnsi="Calibri"/>
          <w:color w:val="202027"/>
          <w:sz w:val="22"/>
        </w:rPr>
        <w:t xml:space="preserve">The legal form matters. Under current federal tax law, barter is generally taxable at fair market value, and public procurement remains subject to appropriations, competition, ethics, and reporting rules. Purple should not hide compensation by relabeling it. Any special tax treatment would require explicit legislation and transparent scoring. </w:t>
      </w:r>
      <w:r>
        <w:rPr>
          <w:rFonts w:ascii="Calibri" w:hAnsi="Calibri"/>
          <w:b/>
          <w:color w:val="54207A"/>
          <w:sz w:val="16"/>
          <w:vertAlign w:val="superscript"/>
        </w:rPr>
        <w:t>[7]</w:t>
      </w:r>
      <w:r>
        <w:rPr>
          <w:rFonts w:ascii="Calibri" w:hAnsi="Calibri"/>
          <w:b/>
          <w:color w:val="54207A"/>
          <w:sz w:val="16"/>
          <w:vertAlign w:val="superscript"/>
        </w:rPr>
        <w:t>[9]</w:t>
      </w:r>
    </w:p>
    <w:p>
      <w:pPr>
        <w:pStyle w:val="Heading2"/>
      </w:pPr>
      <w:r>
        <w:t>A model contract architecture</w:t>
      </w:r>
    </w:p>
    <w:tbl>
      <w:tblPr>
        <w:tblStyle w:val="TableGrid"/>
        <w:tblW w:type="dxa" w:w="9360"/>
        <w:jc w:val="left"/>
        <w:tblLayout w:type="fixed"/>
        <w:tblLook w:firstColumn="1" w:firstRow="1" w:lastColumn="0" w:lastRow="0" w:noHBand="0" w:noVBand="1" w:val="04A0"/>
        <w:tblInd w:w="120" w:type="dxa"/>
      </w:tblPr>
      <w:tblGrid>
        <w:gridCol w:w="1800"/>
        <w:gridCol w:w="4200"/>
        <w:gridCol w:w="3360"/>
      </w:tblGrid>
      <w:tr>
        <w:trPr>
          <w:tblHeader w:val="true"/>
        </w:trPr>
        <w:tc>
          <w:tcPr>
            <w:tcW w:type="dxa" w:w="180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Contract element</w:t>
            </w:r>
          </w:p>
        </w:tc>
        <w:tc>
          <w:tcPr>
            <w:tcW w:type="dxa" w:w="420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Required Purple standard</w:t>
            </w:r>
          </w:p>
        </w:tc>
        <w:tc>
          <w:tcPr>
            <w:tcW w:type="dxa" w:w="336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Failure protection</w:t>
            </w:r>
          </w:p>
        </w:tc>
      </w:tr>
      <w:tr>
        <w:trPr>
          <w:cantSplit/>
        </w:trPr>
        <w:tc>
          <w:tcPr>
            <w:tcW w:type="dxa" w:w="18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Public outcome</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One measurable burden or capability target with a published baseline.</w:t>
            </w:r>
          </w:p>
        </w:tc>
        <w:tc>
          <w:tcPr>
            <w:tcW w:type="dxa" w:w="33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No payment for vague activity.</w:t>
            </w:r>
          </w:p>
        </w:tc>
      </w:tr>
      <w:tr>
        <w:trPr>
          <w:cantSplit/>
        </w:trPr>
        <w:tc>
          <w:tcPr>
            <w:tcW w:type="dxa" w:w="18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Competition</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Open qualification, multiple bidders, and no unnecessary exclusivity.</w:t>
            </w:r>
          </w:p>
        </w:tc>
        <w:tc>
          <w:tcPr>
            <w:tcW w:type="dxa" w:w="33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Rebid, interoperability, and antitrust review.</w:t>
            </w:r>
          </w:p>
        </w:tc>
      </w:tr>
      <w:tr>
        <w:trPr>
          <w:cantSplit/>
        </w:trPr>
        <w:tc>
          <w:tcPr>
            <w:tcW w:type="dxa" w:w="18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Compensation</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Value tied to verified milestones and capped public exposure.</w:t>
            </w:r>
          </w:p>
        </w:tc>
        <w:tc>
          <w:tcPr>
            <w:tcW w:type="dxa" w:w="33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Holdbacks and recovery of unearned value.</w:t>
            </w:r>
          </w:p>
        </w:tc>
      </w:tr>
      <w:tr>
        <w:trPr>
          <w:cantSplit/>
        </w:trPr>
        <w:tc>
          <w:tcPr>
            <w:tcW w:type="dxa" w:w="18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Evidence</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Independent measurement, audit access, and public dashboard.</w:t>
            </w:r>
          </w:p>
        </w:tc>
        <w:tc>
          <w:tcPr>
            <w:tcW w:type="dxa" w:w="33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Fraud penalties and data-quality triggers.</w:t>
            </w:r>
          </w:p>
        </w:tc>
      </w:tr>
      <w:tr>
        <w:trPr>
          <w:cantSplit/>
        </w:trPr>
        <w:tc>
          <w:tcPr>
            <w:tcW w:type="dxa" w:w="18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Liberty</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Voluntary participation, privacy, due process, and an appeal path.</w:t>
            </w:r>
          </w:p>
        </w:tc>
        <w:tc>
          <w:tcPr>
            <w:tcW w:type="dxa" w:w="33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Exit rights and civil-rights enforcement.</w:t>
            </w:r>
          </w:p>
        </w:tc>
      </w:tr>
      <w:tr>
        <w:trPr>
          <w:cantSplit/>
        </w:trPr>
        <w:tc>
          <w:tcPr>
            <w:tcW w:type="dxa" w:w="18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Duration</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Pilot term, sunset date, and predefined scale criteria.</w:t>
            </w:r>
          </w:p>
        </w:tc>
        <w:tc>
          <w:tcPr>
            <w:tcW w:type="dxa" w:w="33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Automatic expiration without affirmative proof.</w:t>
            </w:r>
          </w:p>
        </w:tc>
      </w:tr>
    </w:tbl>
    <w:p>
      <w:pPr>
        <w:spacing w:after="60"/>
      </w:pPr>
    </w:p>
    <w:p>
      <w:pPr>
        <w:keepNext w:val="0"/>
        <w:widowControl/>
        <w:spacing w:before="0" w:after="160" w:line="320" w:lineRule="auto"/>
        <w:ind w:firstLine="360"/>
      </w:pPr>
      <w:r>
        <w:rPr>
          <w:rFonts w:ascii="Calibri" w:hAnsi="Calibri"/>
          <w:color w:val="202027"/>
          <w:sz w:val="22"/>
        </w:rPr>
        <w:t xml:space="preserve">Performance-based contracting is not an invented concept. Federal acquisition policy has long recognized the value of describing needs in terms of results rather than prescribing every method. GAO has also warned that outcomes must be clear and measurable. Purple adopts that discipline and applies it to recurring public burdens. </w:t>
      </w:r>
      <w:r>
        <w:rPr>
          <w:rFonts w:ascii="Calibri" w:hAnsi="Calibri"/>
          <w:b/>
          <w:color w:val="54207A"/>
          <w:sz w:val="16"/>
          <w:vertAlign w:val="superscript"/>
        </w:rPr>
        <w:t>[7]</w:t>
      </w:r>
    </w:p>
    <w:p>
      <w:pPr>
        <w:pStyle w:val="Heading2"/>
      </w:pPr>
      <w:r>
        <w:t>Energy example</w:t>
      </w:r>
    </w:p>
    <w:p>
      <w:pPr>
        <w:keepNext w:val="0"/>
        <w:widowControl/>
        <w:spacing w:before="0" w:after="160" w:line="320" w:lineRule="auto"/>
        <w:ind w:firstLine="360"/>
      </w:pPr>
      <w:r>
        <w:rPr>
          <w:rFonts w:ascii="Calibri" w:hAnsi="Calibri"/>
          <w:color w:val="202027"/>
          <w:sz w:val="22"/>
        </w:rPr>
        <w:t>Suppose a city wants to reduce household electricity burden without permanently subsidizing bills. It could invite utilities, energy companies, cooperatives, storage providers, and efficiency firms to propose a portfolio. Compensation would be tied to verified kilowatt-hours delivered, outage reduction, household credits, emissions performance, and total cost. A partner could earn attractive returns, but only while citizens receive the contracted benefit. Contracts would preserve grid reliability, competition, and consumer protections.</w:t>
      </w:r>
    </w:p>
    <w:p>
      <w:pPr>
        <w:pStyle w:val="Heading2"/>
      </w:pPr>
      <w:r>
        <w:t>Food example</w:t>
      </w:r>
    </w:p>
    <w:p>
      <w:pPr>
        <w:keepNext w:val="0"/>
        <w:widowControl/>
        <w:spacing w:before="0" w:after="160" w:line="320" w:lineRule="auto"/>
        <w:ind w:firstLine="360"/>
      </w:pPr>
      <w:r>
        <w:rPr>
          <w:rFonts w:ascii="Calibri" w:hAnsi="Calibri"/>
          <w:color w:val="202027"/>
          <w:sz w:val="22"/>
        </w:rPr>
        <w:t>The price of milk or fresh food is built from many inputs: feed, energy, water, labor, processing, refrigeration, packaging, transportation, spoilage, financing, and retail margin. A Purple food initiative would not command a final shelf price by decree. It would competitively attack those input costs, reward verified reductions, and require the savings to reach consumers. The goal is profitable abundance, not a subsidy layered over the same expensive chain.</w:t>
      </w:r>
    </w:p>
    <w:p>
      <w:r>
        <w:br w:type="page"/>
      </w:r>
    </w:p>
    <w:p>
      <w:pPr>
        <w:spacing w:before="200" w:after="100"/>
      </w:pPr>
      <w:r>
        <w:rPr>
          <w:rFonts w:ascii="Calibri" w:hAnsi="Calibri"/>
          <w:b/>
          <w:smallCaps/>
          <w:color w:val="C6A24A"/>
          <w:sz w:val="20"/>
        </w:rPr>
        <w:t>CHAPTER SEVEN</w:t>
      </w:r>
    </w:p>
    <w:p>
      <w:pPr>
        <w:pStyle w:val="Heading1"/>
      </w:pPr>
      <w:r>
        <w:t>Profit With a Public Purpose</w:t>
      </w:r>
    </w:p>
    <w:p>
      <w:pPr>
        <w:keepNext/>
        <w:spacing w:after="360"/>
      </w:pPr>
      <w:r>
        <w:rPr>
          <w:rFonts w:ascii="Calibri" w:hAnsi="Calibri"/>
          <w:i/>
          <w:color w:val="66616B"/>
          <w:sz w:val="25"/>
        </w:rPr>
        <w:t>The Purple Way does not abolish profit. It changes what earns the profit.</w:t>
      </w:r>
    </w:p>
    <w:p>
      <w:pPr>
        <w:keepNext w:val="0"/>
        <w:widowControl/>
        <w:spacing w:before="0" w:after="160" w:line="320" w:lineRule="auto"/>
        <w:ind w:firstLine="360"/>
      </w:pPr>
      <w:r>
        <w:rPr>
          <w:rFonts w:ascii="Calibri" w:hAnsi="Calibri"/>
          <w:color w:val="202027"/>
          <w:sz w:val="22"/>
        </w:rPr>
        <w:t>Democratic socialism often treats private profit as a rival to human need. The Purple Way treats profit as a powerful signal that must be governed by competition, law, transparency, and the terms of exchange. When a firm earns more by keeping a public burden high, the incentive is wrong. When it earns more by permanently lowering that burden, the same entrepreneurial energy can serve the public.</w:t>
      </w:r>
    </w:p>
    <w:p>
      <w:pPr>
        <w:pStyle w:val="Heading2"/>
      </w:pPr>
      <w:r>
        <w:t>Make billionaires compete to enrich everyone else</w:t>
      </w:r>
    </w:p>
    <w:p>
      <w:pPr>
        <w:keepNext w:val="0"/>
        <w:widowControl/>
        <w:spacing w:before="0" w:after="160" w:line="320" w:lineRule="auto"/>
        <w:ind w:firstLine="360"/>
      </w:pPr>
      <w:r>
        <w:rPr>
          <w:rFonts w:ascii="Calibri" w:hAnsi="Calibri"/>
          <w:color w:val="202027"/>
          <w:sz w:val="22"/>
        </w:rPr>
        <w:t>Purple does not require successful people to become less ambitious. It invites them to compete for greater wealth by producing measurable public value: cheaper clean energy, more durable housing, healthier food, better logistics, new skills, lower medical costs, or ownership opportunities. The company may become richer. The public must become richer in capability and lower recurring expense at the same time.</w:t>
      </w:r>
    </w:p>
    <w:p>
      <w:pPr>
        <w:keepNext w:val="0"/>
        <w:widowControl/>
        <w:spacing w:before="0" w:after="160" w:line="320" w:lineRule="auto"/>
        <w:ind w:firstLine="360"/>
      </w:pPr>
      <w:r>
        <w:rPr>
          <w:rFonts w:ascii="Calibri" w:hAnsi="Calibri"/>
          <w:color w:val="202027"/>
          <w:sz w:val="22"/>
        </w:rPr>
        <w:t>This is not a promise that every wealthy person will become benevolent. Contract design assumes self-interest. Verification, competition, and clawbacks are present precisely because good intentions are insufficient.</w:t>
      </w:r>
    </w:p>
    <w:p>
      <w:pPr>
        <w:pStyle w:val="Heading2"/>
      </w:pPr>
      <w:r>
        <w:t>No immunity for private power</w:t>
      </w:r>
    </w:p>
    <w:p>
      <w:pPr>
        <w:keepNext w:val="0"/>
        <w:widowControl/>
        <w:spacing w:before="0" w:after="160" w:line="320" w:lineRule="auto"/>
        <w:ind w:firstLine="360"/>
      </w:pPr>
      <w:r>
        <w:rPr>
          <w:rFonts w:ascii="Calibri" w:hAnsi="Calibri"/>
          <w:color w:val="202027"/>
          <w:sz w:val="22"/>
        </w:rPr>
        <w:t xml:space="preserve">Purple is pro-enterprise, not pro-monopoly. Exclusive dealing, price fixing, collusion, predatory conduct, and capture can raise prices and suppress innovation. The Federal Trade Commission identifies these as threats to competition and consumer welfare. </w:t>
      </w:r>
      <w:r>
        <w:rPr>
          <w:rFonts w:ascii="Calibri" w:hAnsi="Calibri"/>
          <w:b/>
          <w:color w:val="54207A"/>
          <w:sz w:val="16"/>
          <w:vertAlign w:val="superscript"/>
        </w:rPr>
        <w:t>[8]</w:t>
      </w:r>
      <w:r>
        <w:rPr>
          <w:rFonts w:ascii="Calibri" w:hAnsi="Calibri"/>
          <w:color w:val="202027"/>
          <w:sz w:val="22"/>
        </w:rPr>
        <w:t xml:space="preserve"> A Purple contract must not create a private gatekeeper that controls essential infrastructure after the pilot ends.</w:t>
      </w:r>
    </w:p>
    <w:p>
      <w:pPr>
        <w:pStyle w:val="Heading2"/>
      </w:pPr>
      <w:r>
        <w:t>No immunity for public power</w:t>
      </w:r>
    </w:p>
    <w:p>
      <w:pPr>
        <w:keepNext w:val="0"/>
        <w:widowControl/>
        <w:spacing w:before="0" w:after="160" w:line="320" w:lineRule="auto"/>
        <w:ind w:firstLine="360"/>
      </w:pPr>
      <w:r>
        <w:rPr>
          <w:rFonts w:ascii="Calibri" w:hAnsi="Calibri"/>
          <w:color w:val="202027"/>
          <w:sz w:val="22"/>
        </w:rPr>
        <w:t>Public agencies must publish unit costs, outcomes, failures, and conflicts. A government provider should be allowed to compete, but it should not write the test, grade itself, and exclude challengers. If a public service is the best performer, its evidence should make that visible. If it is not, loyalty to an institution should not outrank loyalty to the citizen.</w:t>
      </w:r>
    </w:p>
    <w:p>
      <w:pPr>
        <w:pStyle w:val="Heading2"/>
      </w:pPr>
      <w:r>
        <w:t>The Purple bargain</w:t>
      </w:r>
    </w:p>
    <w:p>
      <w:pPr>
        <w:keepNext w:val="0"/>
        <w:widowControl/>
        <w:spacing w:before="0" w:after="160" w:line="320" w:lineRule="auto"/>
        <w:ind w:firstLine="360"/>
      </w:pPr>
      <w:r>
        <w:rPr>
          <w:rFonts w:ascii="Calibri" w:hAnsi="Calibri"/>
          <w:color w:val="202027"/>
          <w:sz w:val="22"/>
        </w:rPr>
        <w:t>The bargain is neither "trust business" nor "trust government." It is: trust constitutional rules, open competition, verified evidence, enforceable contracts, and the citizen's right to choose and appeal. That framework converts the argument from ideology to performance.</w:t>
      </w:r>
    </w:p>
    <w:p>
      <w:pPr>
        <w:spacing w:before="120" w:after="240" w:line="288" w:lineRule="auto"/>
        <w:ind w:left="346" w:right="173"/>
        <w:shd w:fill="F4EFF8"/>
        <w:pBdr>
          <w:left w:val="single" w:sz="18" w:space="8" w:color="C6A24A"/>
        </w:pBdr>
      </w:pPr>
      <w:r>
        <w:rPr>
          <w:rFonts w:ascii="Calibri" w:hAnsi="Calibri"/>
          <w:b/>
          <w:color w:val="321447"/>
          <w:sz w:val="22"/>
        </w:rPr>
        <w:t xml:space="preserve">The Purple market rule: </w:t>
      </w:r>
      <w:r>
        <w:rPr>
          <w:rFonts w:ascii="Calibri" w:hAnsi="Calibri"/>
          <w:color w:val="202027"/>
          <w:sz w:val="22"/>
        </w:rPr>
        <w:t>Private reward is legitimate when the public benefit is real, measured, fairly purchased, and not created by blocking competitors.</w:t>
      </w:r>
    </w:p>
    <w:p>
      <w:r>
        <w:br w:type="page"/>
      </w:r>
    </w:p>
    <w:p>
      <w:pPr>
        <w:spacing w:before="200" w:after="100"/>
      </w:pPr>
      <w:r>
        <w:rPr>
          <w:rFonts w:ascii="Calibri" w:hAnsi="Calibri"/>
          <w:b/>
          <w:smallCaps/>
          <w:color w:val="C6A24A"/>
          <w:sz w:val="20"/>
        </w:rPr>
        <w:t>CHAPTER EIGHT</w:t>
      </w:r>
    </w:p>
    <w:p>
      <w:pPr>
        <w:pStyle w:val="Heading1"/>
      </w:pPr>
      <w:r>
        <w:t>Work, Wages, Skills, and Ownership</w:t>
      </w:r>
    </w:p>
    <w:p>
      <w:pPr>
        <w:keepNext/>
        <w:spacing w:after="360"/>
      </w:pPr>
      <w:r>
        <w:rPr>
          <w:rFonts w:ascii="Calibri" w:hAnsi="Calibri"/>
          <w:i/>
          <w:color w:val="66616B"/>
          <w:sz w:val="25"/>
        </w:rPr>
        <w:t>A worker needs more than protection at work. A worker needs portable power beyond one workplace.</w:t>
      </w:r>
    </w:p>
    <w:p>
      <w:pPr>
        <w:keepNext w:val="0"/>
        <w:widowControl/>
        <w:spacing w:before="0" w:after="160" w:line="320" w:lineRule="auto"/>
        <w:ind w:firstLine="360"/>
      </w:pPr>
      <w:r>
        <w:rPr>
          <w:rFonts w:ascii="Calibri" w:hAnsi="Calibri"/>
          <w:color w:val="202027"/>
          <w:sz w:val="22"/>
        </w:rPr>
        <w:t xml:space="preserve">DSA's current program supports union power and a 32-hour week with no reduction in pay or benefits. These proposals express a real concern: productivity and technology should improve life rather than simply intensify work or eliminate jobs. </w:t>
      </w:r>
      <w:r>
        <w:rPr>
          <w:rFonts w:ascii="Calibri" w:hAnsi="Calibri"/>
          <w:b/>
          <w:color w:val="54207A"/>
          <w:sz w:val="16"/>
          <w:vertAlign w:val="superscript"/>
        </w:rPr>
        <w:t>[1]</w:t>
      </w:r>
    </w:p>
    <w:p>
      <w:pPr>
        <w:keepNext w:val="0"/>
        <w:widowControl/>
        <w:spacing w:before="0" w:after="160" w:line="320" w:lineRule="auto"/>
        <w:ind w:firstLine="360"/>
      </w:pPr>
      <w:r>
        <w:rPr>
          <w:rFonts w:ascii="Calibri" w:hAnsi="Calibri"/>
          <w:color w:val="202027"/>
          <w:sz w:val="22"/>
        </w:rPr>
        <w:t>Purple shares the goal but rejects a single national formula for every occupation and employer. A four-day schedule may improve retention and productivity in some professional settings. In emergency medicine, trucking, retail, construction, agriculture, or a small repair shop, the same mandate can require different staffing, raise unit costs, or reduce service. The honest answer is sector-specific testing and bargaining.</w:t>
      </w:r>
    </w:p>
    <w:p>
      <w:pPr>
        <w:pStyle w:val="Heading2"/>
      </w:pPr>
      <w:r>
        <w:t>The Productivity Compact</w:t>
      </w:r>
    </w:p>
    <w:p>
      <w:pPr>
        <w:keepNext w:val="0"/>
        <w:widowControl/>
        <w:spacing w:before="0" w:after="160" w:line="320" w:lineRule="auto"/>
        <w:ind w:firstLine="360"/>
      </w:pPr>
      <w:r>
        <w:rPr>
          <w:rFonts w:ascii="Calibri" w:hAnsi="Calibri"/>
          <w:color w:val="202027"/>
          <w:sz w:val="22"/>
        </w:rPr>
        <w:t>A Purple Productivity Compact is a voluntary or collectively bargained agreement that shares verified productivity gains among workers, customers, owners, and public goals. If better training, equipment, scheduling, or technology allows the same team to create more value, part of the gain should appear as higher pay, shorter hours, profit sharing, ownership deposits, or lower prices.</w:t>
      </w:r>
    </w:p>
    <w:p>
      <w:pPr>
        <w:keepNext w:val="0"/>
        <w:widowControl/>
        <w:spacing w:before="0" w:after="160" w:line="320" w:lineRule="auto"/>
        <w:ind w:firstLine="360"/>
      </w:pPr>
      <w:r>
        <w:rPr>
          <w:rFonts w:ascii="Calibri" w:hAnsi="Calibri"/>
          <w:color w:val="202027"/>
          <w:sz w:val="22"/>
        </w:rPr>
        <w:t xml:space="preserve">The Bureau of Labor Statistics explains that long-run productivity growth supports higher living standards because more output can be produced from the same inputs. Education, experience, technology, capital, management, and work processes all contribute. </w:t>
      </w:r>
      <w:r>
        <w:rPr>
          <w:rFonts w:ascii="Calibri" w:hAnsi="Calibri"/>
          <w:b/>
          <w:color w:val="54207A"/>
          <w:sz w:val="16"/>
          <w:vertAlign w:val="superscript"/>
        </w:rPr>
        <w:t>[6]</w:t>
      </w:r>
      <w:r>
        <w:rPr>
          <w:rFonts w:ascii="Calibri" w:hAnsi="Calibri"/>
          <w:color w:val="202027"/>
          <w:sz w:val="22"/>
        </w:rPr>
        <w:t xml:space="preserve"> Purple makes that relationship a governing focus.</w:t>
      </w:r>
    </w:p>
    <w:p>
      <w:pPr>
        <w:pStyle w:val="Heading2"/>
      </w:pPr>
      <w:r>
        <w:t>Portable human-capital accounts</w:t>
      </w:r>
    </w:p>
    <w:p>
      <w:pPr>
        <w:keepNext w:val="0"/>
        <w:widowControl/>
        <w:spacing w:before="0" w:after="160" w:line="320" w:lineRule="auto"/>
        <w:ind w:firstLine="360"/>
      </w:pPr>
      <w:r>
        <w:rPr>
          <w:rFonts w:ascii="Calibri" w:hAnsi="Calibri"/>
          <w:color w:val="202027"/>
          <w:sz w:val="22"/>
        </w:rPr>
        <w:t>Every worker should be able to accumulate a portable account that can fund credentials, tools, relocation, childcare during training, business formation, or a down payment on productive equipment. Contributions could come from the worker, employer, public matching, philanthropy, and a negotiated share of productivity gains. The account belongs to the person, not the employer or political program.</w:t>
      </w:r>
    </w:p>
    <w:p>
      <w:pPr>
        <w:pStyle w:val="Heading2"/>
      </w:pPr>
      <w:r>
        <w:t>From worker voice to worker capital</w:t>
      </w:r>
    </w:p>
    <w:p>
      <w:pPr>
        <w:keepNext w:val="0"/>
        <w:widowControl/>
        <w:spacing w:before="0" w:after="160" w:line="320" w:lineRule="auto"/>
        <w:ind w:firstLine="360"/>
      </w:pPr>
      <w:r>
        <w:rPr>
          <w:rFonts w:ascii="Calibri" w:hAnsi="Calibri"/>
          <w:color w:val="202027"/>
          <w:sz w:val="22"/>
        </w:rPr>
        <w:t>Unions can be valuable partners in Purple compacts. They can negotiate training quality, technology transitions, safety, gain sharing, and employee ownership. The difference is destination. DSA often sees stronger collective bargaining as part of a path toward working-class control. Purple sees it as one instrument for helping each worker build portable capital and real choice.</w:t>
      </w:r>
    </w:p>
    <w:p>
      <w:pPr>
        <w:pStyle w:val="Heading2"/>
      </w:pPr>
      <w:r>
        <w:t>The right to advance and the right to refuse</w:t>
      </w:r>
    </w:p>
    <w:p>
      <w:pPr>
        <w:keepNext w:val="0"/>
        <w:widowControl/>
        <w:spacing w:before="0" w:after="160" w:line="320" w:lineRule="auto"/>
        <w:ind w:firstLine="360"/>
      </w:pPr>
      <w:r>
        <w:rPr>
          <w:rFonts w:ascii="Calibri" w:hAnsi="Calibri"/>
          <w:color w:val="202027"/>
          <w:sz w:val="22"/>
        </w:rPr>
        <w:t>No one should be forced into a training track chosen by a contractor or algorithm. Workers need transparent options, recognized credentials, data privacy, and the right to change providers. A program that makes a person employable only inside one company has not created independence; it has created a new dependency.</w:t>
      </w:r>
    </w:p>
    <w:p>
      <w:r>
        <w:br w:type="page"/>
      </w:r>
    </w:p>
    <w:p>
      <w:pPr>
        <w:spacing w:before="200" w:after="100"/>
      </w:pPr>
      <w:r>
        <w:rPr>
          <w:rFonts w:ascii="Calibri" w:hAnsi="Calibri"/>
          <w:b/>
          <w:smallCaps/>
          <w:color w:val="C6A24A"/>
          <w:sz w:val="20"/>
        </w:rPr>
        <w:t>CHAPTER NINE</w:t>
      </w:r>
    </w:p>
    <w:p>
      <w:pPr>
        <w:pStyle w:val="Heading1"/>
      </w:pPr>
      <w:r>
        <w:t>The Cost of Living and Monetary Pressure</w:t>
      </w:r>
    </w:p>
    <w:p>
      <w:pPr>
        <w:keepNext/>
        <w:spacing w:after="360"/>
      </w:pPr>
      <w:r>
        <w:rPr>
          <w:rFonts w:ascii="Calibri" w:hAnsi="Calibri"/>
          <w:i/>
          <w:color w:val="66616B"/>
          <w:sz w:val="25"/>
        </w:rPr>
        <w:t>Lower the need for monetary rescue by making essentials easier to produce and households harder to break.</w:t>
      </w:r>
    </w:p>
    <w:p>
      <w:pPr>
        <w:keepNext w:val="0"/>
        <w:widowControl/>
        <w:spacing w:before="0" w:after="160" w:line="320" w:lineRule="auto"/>
        <w:ind w:firstLine="360"/>
      </w:pPr>
      <w:r>
        <w:rPr>
          <w:rFonts w:ascii="Calibri" w:hAnsi="Calibri"/>
          <w:color w:val="202027"/>
          <w:sz w:val="22"/>
        </w:rPr>
        <w:t xml:space="preserve">The Purple Way uses the phrase </w:t>
      </w:r>
      <w:r>
        <w:rPr>
          <w:rFonts w:ascii="Calibri" w:hAnsi="Calibri"/>
          <w:b/>
          <w:color w:val="202027"/>
          <w:sz w:val="22"/>
        </w:rPr>
        <w:t>fiat socialization</w:t>
      </w:r>
      <w:r>
        <w:rPr>
          <w:rFonts w:ascii="Calibri" w:hAnsi="Calibri"/>
          <w:color w:val="202027"/>
          <w:sz w:val="22"/>
        </w:rPr>
        <w:t xml:space="preserve"> to describe a recurring political habit: when costs rise and insecurity spreads, society answers with more credit, debt, subsidy, or monetary accommodation instead of changing the productive structure that created the burden. The phrase is a critique of dependence on financial claims, not a denial that emergency spending can be necessary.</w:t>
      </w:r>
    </w:p>
    <w:p>
      <w:pPr>
        <w:pStyle w:val="Heading2"/>
      </w:pPr>
      <w:r>
        <w:t>The monetary chain, stated carefully</w:t>
      </w:r>
    </w:p>
    <w:p>
      <w:pPr>
        <w:keepNext w:val="0"/>
        <w:widowControl/>
        <w:spacing w:before="0" w:after="160" w:line="320" w:lineRule="auto"/>
        <w:ind w:firstLine="360"/>
      </w:pPr>
      <w:r>
        <w:rPr>
          <w:rFonts w:ascii="Calibri" w:hAnsi="Calibri"/>
          <w:color w:val="202027"/>
          <w:sz w:val="22"/>
        </w:rPr>
        <w:t xml:space="preserve">Federal Reserve policy affects financial conditions, borrowing, demand, employment, and inflation. But the Fed emphasizes that the connections are not direct or immediate and that many factors affect inflation. </w:t>
      </w:r>
      <w:r>
        <w:rPr>
          <w:rFonts w:ascii="Calibri" w:hAnsi="Calibri"/>
          <w:b/>
          <w:color w:val="54207A"/>
          <w:sz w:val="16"/>
          <w:vertAlign w:val="superscript"/>
        </w:rPr>
        <w:t>[4]</w:t>
      </w:r>
      <w:r>
        <w:rPr>
          <w:rFonts w:ascii="Calibri" w:hAnsi="Calibri"/>
          <w:b/>
          <w:color w:val="54207A"/>
          <w:sz w:val="16"/>
          <w:vertAlign w:val="superscript"/>
        </w:rPr>
        <w:t>[5]</w:t>
      </w:r>
      <w:r>
        <w:rPr>
          <w:rFonts w:ascii="Calibri" w:hAnsi="Calibri"/>
          <w:color w:val="202027"/>
          <w:sz w:val="22"/>
        </w:rPr>
        <w:t xml:space="preserve"> A credible Purple argument must therefore avoid saying that one program can order the Fed to reduce the money supply or guarantee a particular grocery price.</w:t>
      </w:r>
    </w:p>
    <w:p>
      <w:pPr>
        <w:keepNext w:val="0"/>
        <w:widowControl/>
        <w:spacing w:before="0" w:after="160" w:line="320" w:lineRule="auto"/>
        <w:ind w:firstLine="360"/>
      </w:pPr>
      <w:r>
        <w:rPr>
          <w:rFonts w:ascii="Calibri" w:hAnsi="Calibri"/>
          <w:color w:val="202027"/>
          <w:sz w:val="22"/>
        </w:rPr>
        <w:t>The stronger argument is indirect and structural. If the economy can produce more energy, food, housing, transportation, and healthcare at lower unit cost; if households hold more savings and less fragile debt; and if governments face fewer recurring rescue obligations, then supply capacity rises relative to emergency demand. That can reduce inflationary pressure, improve fiscal resilience, and give monetary policymakers a healthier environment in which to pursue stable prices.</w:t>
      </w:r>
    </w:p>
    <w:p>
      <w:pPr>
        <w:pStyle w:val="Heading2"/>
      </w:pPr>
      <w:r>
        <w:t>Why forced contraction is not the goal</w:t>
      </w:r>
    </w:p>
    <w:p>
      <w:pPr>
        <w:keepNext w:val="0"/>
        <w:widowControl/>
        <w:spacing w:before="0" w:after="160" w:line="320" w:lineRule="auto"/>
        <w:ind w:firstLine="360"/>
      </w:pPr>
      <w:r>
        <w:rPr>
          <w:rFonts w:ascii="Calibri" w:hAnsi="Calibri"/>
          <w:color w:val="202027"/>
          <w:sz w:val="22"/>
        </w:rPr>
        <w:t xml:space="preserve">Sharp monetary contraction can reduce inflation by crushing demand, but it can also cause unemployment, defaults, business failures, and deflationary spirals. That would violate the Purple commitment to human capital. The goal is </w:t>
      </w:r>
      <w:r>
        <w:rPr>
          <w:rFonts w:ascii="Calibri" w:hAnsi="Calibri"/>
          <w:b/>
          <w:color w:val="202027"/>
          <w:sz w:val="22"/>
        </w:rPr>
        <w:t>productive disinflation</w:t>
      </w:r>
      <w:r>
        <w:rPr>
          <w:rFonts w:ascii="Calibri" w:hAnsi="Calibri"/>
          <w:color w:val="202027"/>
          <w:sz w:val="22"/>
        </w:rPr>
        <w:t>: expand useful capacity, eliminate avoidable costs, restrain recurring debt dependence, and permit price competition to work. Economy-wide deflation is not required. Sector-specific price declines and a lower share of household income spent on essentials are valid victories.</w:t>
      </w:r>
    </w:p>
    <w:p>
      <w:pPr>
        <w:pStyle w:val="Heading2"/>
      </w:pPr>
      <w:r>
        <w:t>The milk test</w:t>
      </w:r>
    </w:p>
    <w:p>
      <w:pPr>
        <w:keepNext w:val="0"/>
        <w:widowControl/>
        <w:spacing w:before="0" w:after="160" w:line="320" w:lineRule="auto"/>
        <w:ind w:firstLine="360"/>
      </w:pPr>
      <w:r>
        <w:rPr>
          <w:rFonts w:ascii="Calibri" w:hAnsi="Calibri"/>
          <w:color w:val="202027"/>
          <w:sz w:val="22"/>
        </w:rPr>
        <w:t>Milk is a useful illustration because its shelf price carries the cost of an entire chain. A Purple contract might target feed efficiency, energy cost, refrigeration loss, logistics, packaging, financing, and retailer pass-through. Each intervention would have a baseline and a consumer-price condition. If the public pays a partner but the retail benefit disappears into margin, the contract has failed.</w:t>
      </w:r>
    </w:p>
    <w:p>
      <w:pPr>
        <w:keepNext w:val="0"/>
        <w:widowControl/>
        <w:spacing w:before="0" w:after="160" w:line="320" w:lineRule="auto"/>
        <w:ind w:firstLine="360"/>
      </w:pPr>
      <w:r>
        <w:rPr>
          <w:rFonts w:ascii="Calibri" w:hAnsi="Calibri"/>
          <w:color w:val="202027"/>
          <w:sz w:val="22"/>
        </w:rPr>
        <w:t>The aim should not be a simplistic promise to restore the nominal sticker price of the 1950s. The economy, wages, product standards, distribution, and currency have changed. The meaningful targets are the inflation-adjusted price, the minutes of work required to buy the product, the household food burden, quality, and resilience. If nominal prices fall through genuine productivity and competition, that is welcome; it should be an outcome, not a decree.</w:t>
      </w:r>
    </w:p>
    <w:p>
      <w:pPr>
        <w:spacing w:before="120" w:after="240" w:line="288" w:lineRule="auto"/>
        <w:ind w:left="346" w:right="173"/>
        <w:shd w:fill="F4EFF8"/>
        <w:pBdr>
          <w:left w:val="single" w:sz="18" w:space="8" w:color="C6A24A"/>
        </w:pBdr>
      </w:pPr>
      <w:r>
        <w:rPr>
          <w:rFonts w:ascii="Calibri" w:hAnsi="Calibri"/>
          <w:b/>
          <w:color w:val="321447"/>
          <w:sz w:val="22"/>
        </w:rPr>
        <w:t xml:space="preserve">Monetary principle: </w:t>
      </w:r>
      <w:r>
        <w:rPr>
          <w:rFonts w:ascii="Calibri" w:hAnsi="Calibri"/>
          <w:color w:val="202027"/>
          <w:sz w:val="22"/>
        </w:rPr>
        <w:t>Purple seeks influence through better fundamentals, not political control of the central bank.</w:t>
      </w:r>
    </w:p>
    <w:p>
      <w:r>
        <w:br w:type="page"/>
      </w:r>
    </w:p>
    <w:p>
      <w:pPr>
        <w:spacing w:before="200" w:after="100"/>
      </w:pPr>
      <w:r>
        <w:rPr>
          <w:rFonts w:ascii="Calibri" w:hAnsi="Calibri"/>
          <w:b/>
          <w:smallCaps/>
          <w:color w:val="C6A24A"/>
          <w:sz w:val="20"/>
        </w:rPr>
        <w:t>CHAPTER TEN</w:t>
      </w:r>
    </w:p>
    <w:p>
      <w:pPr>
        <w:pStyle w:val="Heading1"/>
      </w:pPr>
      <w:r>
        <w:t>Healthcare, Housing, Food, and Energy</w:t>
      </w:r>
    </w:p>
    <w:p>
      <w:pPr>
        <w:keepNext/>
        <w:spacing w:after="360"/>
      </w:pPr>
      <w:r>
        <w:rPr>
          <w:rFonts w:ascii="Calibri" w:hAnsi="Calibri"/>
          <w:i/>
          <w:color w:val="66616B"/>
          <w:sz w:val="25"/>
        </w:rPr>
        <w:t>The Purple Way treats affordability as a production and capability problem, not only a payment problem.</w:t>
      </w:r>
    </w:p>
    <w:p>
      <w:pPr>
        <w:pStyle w:val="Heading2"/>
      </w:pPr>
      <w:r>
        <w:t>Healthcare: care plus health capacity</w:t>
      </w:r>
    </w:p>
    <w:p>
      <w:pPr>
        <w:keepNext w:val="0"/>
        <w:widowControl/>
        <w:spacing w:before="0" w:after="160" w:line="320" w:lineRule="auto"/>
        <w:ind w:firstLine="360"/>
      </w:pPr>
      <w:r>
        <w:rPr>
          <w:rFonts w:ascii="Calibri" w:hAnsi="Calibri"/>
          <w:color w:val="202027"/>
          <w:sz w:val="22"/>
        </w:rPr>
        <w:t xml:space="preserve">DSA proposes universal healthcare with no premiums, co-pays, or deductibles and expanded public facilities. </w:t>
      </w:r>
      <w:r>
        <w:rPr>
          <w:rFonts w:ascii="Calibri" w:hAnsi="Calibri"/>
          <w:b/>
          <w:color w:val="54207A"/>
          <w:sz w:val="16"/>
          <w:vertAlign w:val="superscript"/>
        </w:rPr>
        <w:t>[1]</w:t>
      </w:r>
      <w:r>
        <w:rPr>
          <w:rFonts w:ascii="Calibri" w:hAnsi="Calibri"/>
          <w:color w:val="202027"/>
          <w:sz w:val="22"/>
        </w:rPr>
        <w:t xml:space="preserve"> The appeal is clear: nobody should avoid necessary care because of cost. Purple should preserve that moral floor while asking how to reduce the production of avoidable illness and the unit cost of care.</w:t>
      </w:r>
    </w:p>
    <w:p>
      <w:pPr>
        <w:keepNext w:val="0"/>
        <w:widowControl/>
        <w:spacing w:before="0" w:after="160" w:line="320" w:lineRule="auto"/>
        <w:ind w:firstLine="360"/>
      </w:pPr>
      <w:r>
        <w:rPr>
          <w:rFonts w:ascii="Calibri" w:hAnsi="Calibri"/>
          <w:color w:val="202027"/>
          <w:sz w:val="22"/>
        </w:rPr>
        <w:t>A Purple health system would combine essential coverage with competitive public-benefit contracts for primary care access, maternal health, chronic-disease management, transparent prices, nutrition, safe housing, and preventive services. Organic or fresh food should not be treated as a luxury if better supply chains can make it affordable. But prevention is not a substitute for cancer treatment, trauma care, disability services, or rare-disease medicine. A complete Purple proposal must include a financed essential-care floor and actuarial testing.</w:t>
      </w:r>
    </w:p>
    <w:p>
      <w:pPr>
        <w:pStyle w:val="Heading2"/>
      </w:pPr>
      <w:r>
        <w:t>Housing: protect the resident and expand the stock</w:t>
      </w:r>
    </w:p>
    <w:p>
      <w:pPr>
        <w:keepNext w:val="0"/>
        <w:widowControl/>
        <w:spacing w:before="0" w:after="160" w:line="320" w:lineRule="auto"/>
        <w:ind w:firstLine="360"/>
      </w:pPr>
      <w:r>
        <w:rPr>
          <w:rFonts w:ascii="Calibri" w:hAnsi="Calibri"/>
          <w:color w:val="202027"/>
          <w:sz w:val="22"/>
        </w:rPr>
        <w:t xml:space="preserve">DSA calls for social housing, strong regulation of investment properties, tenant counsel, and universal rent control. </w:t>
      </w:r>
      <w:r>
        <w:rPr>
          <w:rFonts w:ascii="Calibri" w:hAnsi="Calibri"/>
          <w:b/>
          <w:color w:val="54207A"/>
          <w:sz w:val="16"/>
          <w:vertAlign w:val="superscript"/>
        </w:rPr>
        <w:t>[1]</w:t>
      </w:r>
      <w:r>
        <w:rPr>
          <w:rFonts w:ascii="Calibri" w:hAnsi="Calibri"/>
          <w:color w:val="202027"/>
          <w:sz w:val="22"/>
        </w:rPr>
        <w:t xml:space="preserve"> Purple would use emergency protections and legal counsel where needed, but its long-run strategy is abundant housing: faster lawful permitting, infrastructure coordination, trade training, standardized components, competitive construction, rehabilitation, land access, and ownership pathways.</w:t>
      </w:r>
    </w:p>
    <w:p>
      <w:pPr>
        <w:keepNext w:val="0"/>
        <w:widowControl/>
        <w:spacing w:before="0" w:after="160" w:line="320" w:lineRule="auto"/>
        <w:ind w:firstLine="360"/>
      </w:pPr>
      <w:r>
        <w:rPr>
          <w:rFonts w:ascii="Calibri" w:hAnsi="Calibri"/>
          <w:color w:val="202027"/>
          <w:sz w:val="22"/>
        </w:rPr>
        <w:t>A housing contract should be paid for completed, durable, occupied units at verified total cost - not announcements or zoning approvals alone. It should reward mixed-income supply, low operating cost, resilience, and resident equity. Rent rules, if used, should be paired with supply protections and tested for unintended conversion or deterioration.</w:t>
      </w:r>
    </w:p>
    <w:p>
      <w:pPr>
        <w:pStyle w:val="Heading2"/>
      </w:pPr>
      <w:r>
        <w:t>Food: reorganize the cost chain</w:t>
      </w:r>
    </w:p>
    <w:p>
      <w:pPr>
        <w:keepNext w:val="0"/>
        <w:widowControl/>
        <w:spacing w:before="0" w:after="160" w:line="320" w:lineRule="auto"/>
        <w:ind w:firstLine="360"/>
      </w:pPr>
      <w:r>
        <w:rPr>
          <w:rFonts w:ascii="Calibri" w:hAnsi="Calibri"/>
          <w:color w:val="202027"/>
          <w:sz w:val="22"/>
        </w:rPr>
        <w:t>A food subsidy makes a high grocery bill payable. Purple wants to make the bill smaller. Public-benefit exchanges can coordinate farmers, feed suppliers, energy providers, processors, cold storage, transportation, and retailers around a verified delivered-price goal. Partners receive value only when savings reach consumers without reducing safety, worker standards, or farmer viability.</w:t>
      </w:r>
    </w:p>
    <w:p>
      <w:pPr>
        <w:pStyle w:val="Heading2"/>
      </w:pPr>
      <w:r>
        <w:t>Energy: credits, reliability, and competition</w:t>
      </w:r>
    </w:p>
    <w:p>
      <w:pPr>
        <w:keepNext w:val="0"/>
        <w:widowControl/>
        <w:spacing w:before="0" w:after="160" w:line="320" w:lineRule="auto"/>
        <w:ind w:firstLine="360"/>
      </w:pPr>
      <w:r>
        <w:rPr>
          <w:rFonts w:ascii="Calibri" w:hAnsi="Calibri"/>
          <w:color w:val="202027"/>
          <w:sz w:val="22"/>
        </w:rPr>
        <w:t xml:space="preserve">DSA favors massive public investment and public ownership of major energy and transportation infrastructure. </w:t>
      </w:r>
      <w:r>
        <w:rPr>
          <w:rFonts w:ascii="Calibri" w:hAnsi="Calibri"/>
          <w:b/>
          <w:color w:val="54207A"/>
          <w:sz w:val="16"/>
          <w:vertAlign w:val="superscript"/>
        </w:rPr>
        <w:t>[1]</w:t>
      </w:r>
      <w:r>
        <w:rPr>
          <w:rFonts w:ascii="Calibri" w:hAnsi="Calibri"/>
          <w:color w:val="202027"/>
          <w:sz w:val="22"/>
        </w:rPr>
        <w:t xml:space="preserve"> Purple permits public ownership where it proves best, but it prefers competing performance models. An energy company may earn high returns for delivering cheaper, reliable power and household credits. The contract must protect the grid, publish costs, prevent cross-subsidy games, preserve competition, and avoid granting a permanent monopoly.</w:t>
      </w:r>
    </w:p>
    <w:p>
      <w:pPr>
        <w:pStyle w:val="Heading2"/>
      </w:pPr>
      <w:r>
        <w:t>Why the Purple design is stronger</w:t>
      </w:r>
    </w:p>
    <w:p>
      <w:pPr>
        <w:keepNext w:val="0"/>
        <w:widowControl/>
        <w:spacing w:before="0" w:after="160" w:line="320" w:lineRule="auto"/>
        <w:ind w:firstLine="360"/>
      </w:pPr>
      <w:r>
        <w:rPr>
          <w:rFonts w:ascii="Calibri" w:hAnsi="Calibri"/>
          <w:color w:val="202027"/>
          <w:sz w:val="22"/>
        </w:rPr>
        <w:t>In each sector, DSA begins with a right and assigns a public system to deliver it. Purple begins with the same human need, establishes a floor, and then organizes every capable institution around lowering the recurring burden and building household power. The Purple design is stronger because it can use public, private, cooperative, and nonprofit capacity without making any one form sacred.</w:t>
      </w:r>
    </w:p>
    <w:p>
      <w:r>
        <w:br w:type="page"/>
      </w:r>
    </w:p>
    <w:p>
      <w:pPr>
        <w:spacing w:before="200" w:after="100"/>
      </w:pPr>
      <w:r>
        <w:rPr>
          <w:rFonts w:ascii="Calibri" w:hAnsi="Calibri"/>
          <w:b/>
          <w:smallCaps/>
          <w:color w:val="C6A24A"/>
          <w:sz w:val="20"/>
        </w:rPr>
        <w:t>CHAPTER ELEVEN</w:t>
      </w:r>
    </w:p>
    <w:p>
      <w:pPr>
        <w:pStyle w:val="Heading1"/>
      </w:pPr>
      <w:r>
        <w:t>Democracy, Liberty, and Constitutional Restraint</w:t>
      </w:r>
    </w:p>
    <w:p>
      <w:pPr>
        <w:keepNext/>
        <w:spacing w:after="360"/>
      </w:pPr>
      <w:r>
        <w:rPr>
          <w:rFonts w:ascii="Calibri" w:hAnsi="Calibri"/>
          <w:i/>
          <w:color w:val="66616B"/>
          <w:sz w:val="25"/>
        </w:rPr>
        <w:t>A just economic system must not require citizens to surrender pluralism or exit rights.</w:t>
      </w:r>
    </w:p>
    <w:p>
      <w:pPr>
        <w:keepNext w:val="0"/>
        <w:widowControl/>
        <w:spacing w:before="0" w:after="160" w:line="320" w:lineRule="auto"/>
        <w:ind w:firstLine="360"/>
      </w:pPr>
      <w:r>
        <w:rPr>
          <w:rFonts w:ascii="Calibri" w:hAnsi="Calibri"/>
          <w:color w:val="202027"/>
          <w:sz w:val="22"/>
        </w:rPr>
        <w:t xml:space="preserve">DSA describes itself as a political and activist organization rather than a formal political party, while its current program says it is building a party and a democratic socialist republic. It seeks proportional representation, a national popular vote, changes to the federal judiciary, and other structural reforms. </w:t>
      </w:r>
      <w:r>
        <w:rPr>
          <w:rFonts w:ascii="Calibri" w:hAnsi="Calibri"/>
          <w:b/>
          <w:color w:val="54207A"/>
          <w:sz w:val="16"/>
          <w:vertAlign w:val="superscript"/>
        </w:rPr>
        <w:t>[1]</w:t>
      </w:r>
      <w:r>
        <w:rPr>
          <w:rFonts w:ascii="Calibri" w:hAnsi="Calibri"/>
          <w:b/>
          <w:color w:val="54207A"/>
          <w:sz w:val="16"/>
          <w:vertAlign w:val="superscript"/>
        </w:rPr>
        <w:t>[3]</w:t>
      </w:r>
      <w:r>
        <w:rPr>
          <w:rFonts w:ascii="Calibri" w:hAnsi="Calibri"/>
          <w:color w:val="202027"/>
          <w:sz w:val="22"/>
        </w:rPr>
        <w:t xml:space="preserve"> Some reforms deserve debate on their own merits. The concern is the package: economic control and constitutional restructuring would move together under a movement organized around one class identity.</w:t>
      </w:r>
    </w:p>
    <w:p>
      <w:pPr>
        <w:pStyle w:val="Heading2"/>
      </w:pPr>
      <w:r>
        <w:t>Citizens are more than a class</w:t>
      </w:r>
    </w:p>
    <w:p>
      <w:pPr>
        <w:keepNext w:val="0"/>
        <w:widowControl/>
        <w:spacing w:before="0" w:after="160" w:line="320" w:lineRule="auto"/>
        <w:ind w:firstLine="360"/>
      </w:pPr>
      <w:r>
        <w:rPr>
          <w:rFonts w:ascii="Calibri" w:hAnsi="Calibri"/>
          <w:color w:val="202027"/>
          <w:sz w:val="22"/>
        </w:rPr>
        <w:t>A person can be a worker, owner, parent, caregiver, customer, inventor, taxpayer, neighbor, believer, dissenter, and volunteer at the same time. A political system that treats class as the primary governing identity may flatten these relationships and turn disagreement into evidence of disloyalty to the class project. Purple begins with citizenship and equal rights, not a permanent division between a righteous class and an enemy class.</w:t>
      </w:r>
    </w:p>
    <w:p>
      <w:pPr>
        <w:pStyle w:val="Heading2"/>
      </w:pPr>
      <w:r>
        <w:t>Federalism as a learning system</w:t>
      </w:r>
    </w:p>
    <w:p>
      <w:pPr>
        <w:keepNext w:val="0"/>
        <w:widowControl/>
        <w:spacing w:before="0" w:after="160" w:line="320" w:lineRule="auto"/>
        <w:ind w:firstLine="360"/>
      </w:pPr>
      <w:r>
        <w:rPr>
          <w:rFonts w:ascii="Calibri" w:hAnsi="Calibri"/>
          <w:color w:val="202027"/>
          <w:sz w:val="22"/>
        </w:rPr>
        <w:t>States and localities should be able to test Purple contracts under national constitutional protections. Different regions face different energy systems, housing markets, industries, and health needs. Federalism makes experimentation possible and failure containable. Successful contracts can spread through evidence. Failed contracts can end without remaking the entire national order.</w:t>
      </w:r>
    </w:p>
    <w:p>
      <w:pPr>
        <w:pStyle w:val="Heading2"/>
      </w:pPr>
      <w:r>
        <w:t>The Race of Transparency</w:t>
      </w:r>
    </w:p>
    <w:p>
      <w:pPr>
        <w:keepNext w:val="0"/>
        <w:widowControl/>
        <w:spacing w:before="0" w:after="160" w:line="320" w:lineRule="auto"/>
        <w:ind w:firstLine="360"/>
      </w:pPr>
      <w:r>
        <w:rPr>
          <w:rFonts w:ascii="Calibri" w:hAnsi="Calibri"/>
          <w:color w:val="202027"/>
          <w:sz w:val="22"/>
        </w:rPr>
        <w:t>Purple replaces ideological loyalty with visible performance. Agencies, contractors, cooperatives, and public enterprises should publish comparable outcome dashboards. Citizens should see the baseline, cost, result, distribution of benefits, conflicts of interest, complaints, audit findings, and renewal decision. The purpose is not data theater. Metrics must determine money and continuation.</w:t>
      </w:r>
    </w:p>
    <w:p>
      <w:pPr>
        <w:pStyle w:val="Heading2"/>
      </w:pPr>
      <w:r>
        <w:t>Rights that no contract may trade away</w:t>
      </w:r>
    </w:p>
    <w:p>
      <w:pPr>
        <w:pStyle w:val="ListBullet"/>
        <w:spacing w:after="80" w:line="290" w:lineRule="auto"/>
        <w:ind w:left="540" w:hanging="279"/>
      </w:pPr>
      <w:r>
        <w:rPr>
          <w:rFonts w:ascii="Calibri" w:hAnsi="Calibri"/>
          <w:color w:val="202027"/>
          <w:sz w:val="22"/>
        </w:rPr>
        <w:t>Equal protection, due process, speech, religion, association, privacy, and lawful property rights.</w:t>
      </w:r>
    </w:p>
    <w:p>
      <w:pPr>
        <w:pStyle w:val="ListBullet"/>
        <w:spacing w:after="80" w:line="290" w:lineRule="auto"/>
        <w:ind w:left="540" w:hanging="279"/>
      </w:pPr>
      <w:r>
        <w:rPr>
          <w:rFonts w:ascii="Calibri" w:hAnsi="Calibri"/>
          <w:color w:val="202027"/>
          <w:sz w:val="22"/>
        </w:rPr>
        <w:t>Voluntary participation except where ordinary public-law obligations apply.</w:t>
      </w:r>
    </w:p>
    <w:p>
      <w:pPr>
        <w:pStyle w:val="ListBullet"/>
        <w:spacing w:after="80" w:line="290" w:lineRule="auto"/>
        <w:ind w:left="540" w:hanging="279"/>
      </w:pPr>
      <w:r>
        <w:rPr>
          <w:rFonts w:ascii="Calibri" w:hAnsi="Calibri"/>
          <w:color w:val="202027"/>
          <w:sz w:val="22"/>
        </w:rPr>
        <w:t>A human appeal process when automated or administrative decisions affect essential benefits.</w:t>
      </w:r>
    </w:p>
    <w:p>
      <w:pPr>
        <w:pStyle w:val="ListBullet"/>
        <w:spacing w:after="80" w:line="290" w:lineRule="auto"/>
        <w:ind w:left="540" w:hanging="279"/>
      </w:pPr>
      <w:r>
        <w:rPr>
          <w:rFonts w:ascii="Calibri" w:hAnsi="Calibri"/>
          <w:color w:val="202027"/>
          <w:sz w:val="22"/>
        </w:rPr>
        <w:t>No discrimination disguised as efficiency or risk scoring.</w:t>
      </w:r>
    </w:p>
    <w:p>
      <w:pPr>
        <w:pStyle w:val="ListBullet"/>
        <w:spacing w:after="80" w:line="290" w:lineRule="auto"/>
        <w:ind w:left="540" w:hanging="279"/>
      </w:pPr>
      <w:r>
        <w:rPr>
          <w:rFonts w:ascii="Calibri" w:hAnsi="Calibri"/>
          <w:color w:val="202027"/>
          <w:sz w:val="22"/>
        </w:rPr>
        <w:t>No exclusive private control of essential citizen data.</w:t>
      </w:r>
    </w:p>
    <w:p>
      <w:pPr>
        <w:pStyle w:val="ListBullet"/>
        <w:spacing w:after="80" w:line="290" w:lineRule="auto"/>
        <w:ind w:left="540" w:hanging="279"/>
      </w:pPr>
      <w:r>
        <w:rPr>
          <w:rFonts w:ascii="Calibri" w:hAnsi="Calibri"/>
          <w:color w:val="202027"/>
          <w:sz w:val="22"/>
        </w:rPr>
        <w:t>Legislative authorization and public accounting for every material exchange of public value.</w:t>
      </w:r>
    </w:p>
    <w:p>
      <w:pPr>
        <w:keepNext w:val="0"/>
        <w:widowControl/>
        <w:spacing w:before="0" w:after="160" w:line="320" w:lineRule="auto"/>
        <w:ind w:firstLine="360"/>
      </w:pPr>
      <w:r>
        <w:rPr>
          <w:rFonts w:ascii="Calibri" w:hAnsi="Calibri"/>
          <w:color w:val="202027"/>
          <w:sz w:val="22"/>
        </w:rPr>
        <w:t>The Purple Way aims at deep change, but it is conservative about concentrated power. That combination - ambitious human outcomes with restrained institutions - is a major advantage over democratic socialism.</w:t>
      </w:r>
    </w:p>
    <w:p>
      <w:r>
        <w:br w:type="page"/>
      </w:r>
    </w:p>
    <w:p>
      <w:pPr>
        <w:spacing w:before="200" w:after="100"/>
      </w:pPr>
      <w:r>
        <w:rPr>
          <w:rFonts w:ascii="Calibri" w:hAnsi="Calibri"/>
          <w:b/>
          <w:smallCaps/>
          <w:color w:val="C6A24A"/>
          <w:sz w:val="20"/>
        </w:rPr>
        <w:t>CHAPTER TWELVE</w:t>
      </w:r>
    </w:p>
    <w:p>
      <w:pPr>
        <w:pStyle w:val="Heading1"/>
      </w:pPr>
      <w:r>
        <w:t>A Fair Head-to-Head Comparison</w:t>
      </w:r>
    </w:p>
    <w:p>
      <w:pPr>
        <w:keepNext/>
        <w:spacing w:after="360"/>
      </w:pPr>
      <w:r>
        <w:rPr>
          <w:rFonts w:ascii="Calibri" w:hAnsi="Calibri"/>
          <w:i/>
          <w:color w:val="66616B"/>
          <w:sz w:val="25"/>
        </w:rPr>
        <w:t>The two systems share some goals. They differ most in the power they expect to remain after intervention.</w:t>
      </w:r>
    </w:p>
    <w:tbl>
      <w:tblPr>
        <w:tblStyle w:val="TableGrid"/>
        <w:tblW w:type="dxa" w:w="9360"/>
        <w:jc w:val="left"/>
        <w:tblLayout w:type="fixed"/>
        <w:tblLook w:firstColumn="1" w:firstRow="1" w:lastColumn="0" w:lastRow="0" w:noHBand="0" w:noVBand="1" w:val="04A0"/>
        <w:tblInd w:w="120" w:type="dxa"/>
      </w:tblPr>
      <w:tblGrid>
        <w:gridCol w:w="1450"/>
        <w:gridCol w:w="2500"/>
        <w:gridCol w:w="2830"/>
        <w:gridCol w:w="2580"/>
      </w:tblGrid>
      <w:tr>
        <w:trPr>
          <w:tblHeader w:val="true"/>
        </w:trPr>
        <w:tc>
          <w:tcPr>
            <w:tcW w:type="dxa" w:w="145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5"/>
              </w:rPr>
              <w:t>Decision test</w:t>
            </w:r>
          </w:p>
        </w:tc>
        <w:tc>
          <w:tcPr>
            <w:tcW w:type="dxa" w:w="250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5"/>
              </w:rPr>
              <w:t>DSA approach</w:t>
            </w:r>
          </w:p>
        </w:tc>
        <w:tc>
          <w:tcPr>
            <w:tcW w:type="dxa" w:w="283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5"/>
              </w:rPr>
              <w:t>Purple Way approach</w:t>
            </w:r>
          </w:p>
        </w:tc>
        <w:tc>
          <w:tcPr>
            <w:tcW w:type="dxa" w:w="258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5"/>
              </w:rPr>
              <w:t>Comparative judgment</w:t>
            </w:r>
          </w:p>
        </w:tc>
      </w:tr>
      <w:tr>
        <w:trPr>
          <w:cantSplit/>
        </w:trPr>
        <w:tc>
          <w:tcPr>
            <w:tcW w:type="dxa" w:w="145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Immediate security</w:t>
            </w:r>
          </w:p>
        </w:tc>
        <w:tc>
          <w:tcPr>
            <w:tcW w:type="dxa" w:w="25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Universal public guarantees and broad rights.</w:t>
            </w:r>
          </w:p>
        </w:tc>
        <w:tc>
          <w:tcPr>
            <w:tcW w:type="dxa" w:w="283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Secure floor plus targeted capacity-building.</w:t>
            </w:r>
          </w:p>
        </w:tc>
        <w:tc>
          <w:tcPr>
            <w:tcW w:type="dxa" w:w="258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DSA is simpler at the promise stage; Purple must prove fast delivery.</w:t>
            </w:r>
          </w:p>
        </w:tc>
      </w:tr>
      <w:tr>
        <w:trPr>
          <w:cantSplit/>
        </w:trPr>
        <w:tc>
          <w:tcPr>
            <w:tcW w:type="dxa" w:w="145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Long-term independence</w:t>
            </w:r>
          </w:p>
        </w:tc>
        <w:tc>
          <w:tcPr>
            <w:tcW w:type="dxa" w:w="25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Security mainly through durable collective institutions.</w:t>
            </w:r>
          </w:p>
        </w:tc>
        <w:tc>
          <w:tcPr>
            <w:tcW w:type="dxa" w:w="283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Portable skills, savings, ownership, health, and exit power.</w:t>
            </w:r>
          </w:p>
        </w:tc>
        <w:tc>
          <w:tcPr>
            <w:tcW w:type="dxa" w:w="258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w:t>
            </w:r>
          </w:p>
        </w:tc>
      </w:tr>
      <w:tr>
        <w:trPr>
          <w:cantSplit/>
        </w:trPr>
        <w:tc>
          <w:tcPr>
            <w:tcW w:type="dxa" w:w="145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Economic engine</w:t>
            </w:r>
          </w:p>
        </w:tc>
        <w:tc>
          <w:tcPr>
            <w:tcW w:type="dxa" w:w="25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Public or collective ownership of key sectors; class power.</w:t>
            </w:r>
          </w:p>
        </w:tc>
        <w:tc>
          <w:tcPr>
            <w:tcW w:type="dxa" w:w="283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Plural ownership; competition to create verified public benefit.</w:t>
            </w:r>
          </w:p>
        </w:tc>
        <w:tc>
          <w:tcPr>
            <w:tcW w:type="dxa" w:w="258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 for adaptability and pluralism.</w:t>
            </w:r>
          </w:p>
        </w:tc>
      </w:tr>
      <w:tr>
        <w:trPr>
          <w:cantSplit/>
        </w:trPr>
        <w:tc>
          <w:tcPr>
            <w:tcW w:type="dxa" w:w="145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Cost of living</w:t>
            </w:r>
          </w:p>
        </w:tc>
        <w:tc>
          <w:tcPr>
            <w:tcW w:type="dxa" w:w="25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Public provision, subsidy, controls, and investment.</w:t>
            </w:r>
          </w:p>
        </w:tc>
        <w:tc>
          <w:tcPr>
            <w:tcW w:type="dxa" w:w="283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Attack unit costs and supply chains; pay for consumer benefit.</w:t>
            </w:r>
          </w:p>
        </w:tc>
        <w:tc>
          <w:tcPr>
            <w:tcW w:type="dxa" w:w="258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 if pass-through is enforced.</w:t>
            </w:r>
          </w:p>
        </w:tc>
      </w:tr>
      <w:tr>
        <w:trPr>
          <w:cantSplit/>
        </w:trPr>
        <w:tc>
          <w:tcPr>
            <w:tcW w:type="dxa" w:w="145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Worker power</w:t>
            </w:r>
          </w:p>
        </w:tc>
        <w:tc>
          <w:tcPr>
            <w:tcW w:type="dxa" w:w="25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Union power, shorter week, working-class political control.</w:t>
            </w:r>
          </w:p>
        </w:tc>
        <w:tc>
          <w:tcPr>
            <w:tcW w:type="dxa" w:w="283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Bargaining plus portable capital, gain sharing, and ownership.</w:t>
            </w:r>
          </w:p>
        </w:tc>
        <w:tc>
          <w:tcPr>
            <w:tcW w:type="dxa" w:w="258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offers broader individual power.</w:t>
            </w:r>
          </w:p>
        </w:tc>
      </w:tr>
      <w:tr>
        <w:trPr>
          <w:cantSplit/>
        </w:trPr>
        <w:tc>
          <w:tcPr>
            <w:tcW w:type="dxa" w:w="145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Fiscal durability</w:t>
            </w:r>
          </w:p>
        </w:tc>
        <w:tc>
          <w:tcPr>
            <w:tcW w:type="dxa" w:w="25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Tax wealth and corporations to fund broad guarantees.</w:t>
            </w:r>
          </w:p>
        </w:tc>
        <w:tc>
          <w:tcPr>
            <w:tcW w:type="dxa" w:w="283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Use a floor, savings capture, and outcome contracts to reduce recurring burdens.</w:t>
            </w:r>
          </w:p>
        </w:tc>
        <w:tc>
          <w:tcPr>
            <w:tcW w:type="dxa" w:w="258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has the better direction but needs scored models.</w:t>
            </w:r>
          </w:p>
        </w:tc>
      </w:tr>
      <w:tr>
        <w:trPr>
          <w:cantSplit/>
        </w:trPr>
        <w:tc>
          <w:tcPr>
            <w:tcW w:type="dxa" w:w="145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Institutional risk</w:t>
            </w:r>
          </w:p>
        </w:tc>
        <w:tc>
          <w:tcPr>
            <w:tcW w:type="dxa" w:w="25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Large national systems and major constitutional change.</w:t>
            </w:r>
          </w:p>
        </w:tc>
        <w:tc>
          <w:tcPr>
            <w:tcW w:type="dxa" w:w="283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Pilots, federalism, sunsets, competition, and reversible contracts.</w:t>
            </w:r>
          </w:p>
        </w:tc>
        <w:tc>
          <w:tcPr>
            <w:tcW w:type="dxa" w:w="258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w:t>
            </w:r>
          </w:p>
        </w:tc>
      </w:tr>
      <w:tr>
        <w:trPr>
          <w:cantSplit/>
        </w:trPr>
        <w:tc>
          <w:tcPr>
            <w:tcW w:type="dxa" w:w="145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Accountability</w:t>
            </w:r>
          </w:p>
        </w:tc>
        <w:tc>
          <w:tcPr>
            <w:tcW w:type="dxa" w:w="25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Democratic governance and movement organization.</w:t>
            </w:r>
          </w:p>
        </w:tc>
        <w:tc>
          <w:tcPr>
            <w:tcW w:type="dxa" w:w="283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Public metrics, independent audit, clawbacks, appeals, and rebidding.</w:t>
            </w:r>
          </w:p>
        </w:tc>
        <w:tc>
          <w:tcPr>
            <w:tcW w:type="dxa" w:w="258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 when safeguards are enforced.</w:t>
            </w:r>
          </w:p>
        </w:tc>
      </w:tr>
      <w:tr>
        <w:trPr>
          <w:cantSplit/>
        </w:trPr>
        <w:tc>
          <w:tcPr>
            <w:tcW w:type="dxa" w:w="145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View of profit</w:t>
            </w:r>
          </w:p>
        </w:tc>
        <w:tc>
          <w:tcPr>
            <w:tcW w:type="dxa" w:w="25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Often treated as structurally opposed to need.</w:t>
            </w:r>
          </w:p>
        </w:tc>
        <w:tc>
          <w:tcPr>
            <w:tcW w:type="dxa" w:w="283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Legitimate when earned by verified, competitive public benefit.</w:t>
            </w:r>
          </w:p>
        </w:tc>
        <w:tc>
          <w:tcPr>
            <w:tcW w:type="dxa" w:w="258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better aligns ambition with public value.</w:t>
            </w:r>
          </w:p>
        </w:tc>
      </w:tr>
      <w:tr>
        <w:trPr>
          <w:cantSplit/>
        </w:trPr>
        <w:tc>
          <w:tcPr>
            <w:tcW w:type="dxa" w:w="145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5"/>
              </w:rPr>
              <w:t>Pluralism</w:t>
            </w:r>
          </w:p>
        </w:tc>
        <w:tc>
          <w:tcPr>
            <w:tcW w:type="dxa" w:w="25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Working-class movement toward socialism.</w:t>
            </w:r>
          </w:p>
        </w:tc>
        <w:tc>
          <w:tcPr>
            <w:tcW w:type="dxa" w:w="283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Citizen-centered system open to public, private, cooperative, and nonprofit providers.</w:t>
            </w:r>
          </w:p>
        </w:tc>
        <w:tc>
          <w:tcPr>
            <w:tcW w:type="dxa" w:w="258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5"/>
              </w:rPr>
              <w:t>Purple advantage.</w:t>
            </w:r>
          </w:p>
        </w:tc>
      </w:tr>
    </w:tbl>
    <w:p>
      <w:pPr>
        <w:spacing w:after="60"/>
      </w:pPr>
    </w:p>
    <w:p>
      <w:pPr>
        <w:pStyle w:val="Heading2"/>
      </w:pPr>
      <w:r>
        <w:t>Where DSA has the present advantage</w:t>
      </w:r>
    </w:p>
    <w:p>
      <w:pPr>
        <w:keepNext w:val="0"/>
        <w:widowControl/>
        <w:spacing w:before="0" w:after="160" w:line="320" w:lineRule="auto"/>
        <w:ind w:firstLine="360"/>
      </w:pPr>
      <w:r>
        <w:rPr>
          <w:rFonts w:ascii="Calibri" w:hAnsi="Calibri"/>
          <w:color w:val="202027"/>
          <w:sz w:val="22"/>
        </w:rPr>
        <w:t>DSA has a national organization, a current published program, campaign infrastructure, and familiar policy demands. Purple is a newer framework and must convert its philosophy into model statutes, fiscal estimates, procurement rules, sector playbooks, and pilot results. A superior destination does not excuse an incomplete map.</w:t>
      </w:r>
    </w:p>
    <w:p>
      <w:pPr>
        <w:pStyle w:val="Heading2"/>
      </w:pPr>
      <w:r>
        <w:t>Where Purple has the deeper advantage</w:t>
      </w:r>
    </w:p>
    <w:p>
      <w:pPr>
        <w:keepNext w:val="0"/>
        <w:widowControl/>
        <w:spacing w:before="0" w:after="160" w:line="320" w:lineRule="auto"/>
        <w:ind w:firstLine="360"/>
      </w:pPr>
      <w:r>
        <w:rPr>
          <w:rFonts w:ascii="Calibri" w:hAnsi="Calibri"/>
          <w:color w:val="202027"/>
          <w:sz w:val="22"/>
        </w:rPr>
        <w:t>Purple has the stronger theory of durable power. It does not ask citizens to choose between corporate domination and government administration. It seeks to disperse capability and ownership while holding every institution to the same public test. It can borrow DSA's urgency without adopting DSA's concentration of power. It can borrow market energy without excusing monopoly or abandonment.</w:t>
      </w:r>
    </w:p>
    <w:p>
      <w:pPr>
        <w:spacing w:before="120" w:after="240" w:line="288" w:lineRule="auto"/>
        <w:ind w:left="346" w:right="173"/>
        <w:shd w:fill="F4EFF8"/>
        <w:pBdr>
          <w:left w:val="single" w:sz="18" w:space="8" w:color="C6A24A"/>
        </w:pBdr>
      </w:pPr>
      <w:r>
        <w:rPr>
          <w:rFonts w:ascii="Calibri" w:hAnsi="Calibri"/>
          <w:b/>
          <w:color w:val="321447"/>
          <w:sz w:val="22"/>
        </w:rPr>
        <w:t xml:space="preserve">Bottom line: </w:t>
      </w:r>
      <w:r>
        <w:rPr>
          <w:rFonts w:ascii="Calibri" w:hAnsi="Calibri"/>
          <w:color w:val="202027"/>
          <w:sz w:val="22"/>
        </w:rPr>
        <w:t>DSA promises that the system will take care of people. Purple promises to protect people while helping far more of them become powerful enough to shape, leave, or replace the system.</w:t>
      </w:r>
    </w:p>
    <w:p>
      <w:r>
        <w:br w:type="page"/>
      </w:r>
    </w:p>
    <w:p>
      <w:pPr>
        <w:spacing w:before="200" w:after="100"/>
      </w:pPr>
      <w:r>
        <w:rPr>
          <w:rFonts w:ascii="Calibri" w:hAnsi="Calibri"/>
          <w:b/>
          <w:smallCaps/>
          <w:color w:val="C6A24A"/>
          <w:sz w:val="20"/>
        </w:rPr>
        <w:t>CHAPTER THIRTEEN</w:t>
      </w:r>
    </w:p>
    <w:p>
      <w:pPr>
        <w:pStyle w:val="Heading1"/>
      </w:pPr>
      <w:r>
        <w:t>From Philosophy to Government</w:t>
      </w:r>
    </w:p>
    <w:p>
      <w:pPr>
        <w:keepNext/>
        <w:spacing w:after="360"/>
      </w:pPr>
      <w:r>
        <w:rPr>
          <w:rFonts w:ascii="Calibri" w:hAnsi="Calibri"/>
          <w:i/>
          <w:color w:val="66616B"/>
          <w:sz w:val="25"/>
        </w:rPr>
        <w:t>The Purple Way becomes credible when it can be written into contracts, budgets, dashboards, and rights.</w:t>
      </w:r>
    </w:p>
    <w:p>
      <w:pPr>
        <w:pStyle w:val="Heading2"/>
      </w:pPr>
      <w:r>
        <w:t>Phase 1: Charter and pilots - months 0 to 18</w:t>
      </w:r>
    </w:p>
    <w:p>
      <w:pPr>
        <w:keepNext w:val="0"/>
        <w:widowControl/>
        <w:spacing w:before="0" w:after="160" w:line="320" w:lineRule="auto"/>
        <w:ind w:firstLine="360"/>
      </w:pPr>
      <w:r>
        <w:rPr>
          <w:rFonts w:ascii="Calibri" w:hAnsi="Calibri"/>
          <w:color w:val="202027"/>
          <w:sz w:val="22"/>
        </w:rPr>
        <w:t>Adopt a Purple Public-Benefit Charter defining human capital, the secure floor, voluntary participation, competition, outcome payments, audit authority, civil-rights protections, data privacy, and sunset requirements. Select three to five bounded pilots in sectors where baselines are measurable - such as household energy burden, workforce credentials, food logistics, preventive health access, or housing rehabilitation.</w:t>
      </w:r>
    </w:p>
    <w:p>
      <w:pPr>
        <w:pStyle w:val="Heading2"/>
      </w:pPr>
      <w:r>
        <w:t>Phase 2: Prove the mechanism - months 18 to 36</w:t>
      </w:r>
    </w:p>
    <w:p>
      <w:pPr>
        <w:keepNext w:val="0"/>
        <w:widowControl/>
        <w:spacing w:before="0" w:after="160" w:line="320" w:lineRule="auto"/>
        <w:ind w:firstLine="360"/>
      </w:pPr>
      <w:r>
        <w:rPr>
          <w:rFonts w:ascii="Calibri" w:hAnsi="Calibri"/>
          <w:color w:val="202027"/>
          <w:sz w:val="22"/>
        </w:rPr>
        <w:t>Publish independent results, including failures. Compare the Purple contract with the best available conventional program, not with doing nothing. Scale only when the result survives cost, equity, competition, and liberty tests. Require legislative reauthorization for material expansion.</w:t>
      </w:r>
    </w:p>
    <w:p>
      <w:pPr>
        <w:pStyle w:val="Heading2"/>
      </w:pPr>
      <w:r>
        <w:t>Phase 3: Build household capital - years 3 to 5</w:t>
      </w:r>
    </w:p>
    <w:p>
      <w:pPr>
        <w:keepNext w:val="0"/>
        <w:widowControl/>
        <w:spacing w:before="0" w:after="160" w:line="320" w:lineRule="auto"/>
        <w:ind w:firstLine="360"/>
      </w:pPr>
      <w:r>
        <w:rPr>
          <w:rFonts w:ascii="Calibri" w:hAnsi="Calibri"/>
          <w:color w:val="202027"/>
          <w:sz w:val="22"/>
        </w:rPr>
        <w:t>Link successful sector savings to portable human-capital and ownership accounts. Expand apprenticeships, employee equity, small-business tools, emergency savings, and matched asset building. The person should retain the asset even if the contractor changes.</w:t>
      </w:r>
    </w:p>
    <w:p>
      <w:pPr>
        <w:pStyle w:val="Heading2"/>
      </w:pPr>
      <w:r>
        <w:t>Phase 4: Reduce recurring dependence - years 5 to 8</w:t>
      </w:r>
    </w:p>
    <w:p>
      <w:pPr>
        <w:keepNext w:val="0"/>
        <w:widowControl/>
        <w:spacing w:before="0" w:after="160" w:line="320" w:lineRule="auto"/>
        <w:ind w:firstLine="360"/>
      </w:pPr>
      <w:r>
        <w:rPr>
          <w:rFonts w:ascii="Calibri" w:hAnsi="Calibri"/>
          <w:color w:val="202027"/>
          <w:sz w:val="22"/>
        </w:rPr>
        <w:t>Use verified reductions in energy, housing, food, health, and workforce instability to lower the growth of recurring rescue obligations. Do not book projected savings before they occur. Apply realized savings to fiscal resilience, essential guarantees, and further capability building.</w:t>
      </w:r>
    </w:p>
    <w:p>
      <w:pPr>
        <w:pStyle w:val="Heading2"/>
      </w:pPr>
      <w:r>
        <w:t>Phase 5: National learning system - years 8 and beyond</w:t>
      </w:r>
    </w:p>
    <w:p>
      <w:pPr>
        <w:keepNext w:val="0"/>
        <w:widowControl/>
        <w:spacing w:before="0" w:after="160" w:line="320" w:lineRule="auto"/>
        <w:ind w:firstLine="360"/>
      </w:pPr>
      <w:r>
        <w:rPr>
          <w:rFonts w:ascii="Calibri" w:hAnsi="Calibri"/>
          <w:color w:val="202027"/>
          <w:sz w:val="22"/>
        </w:rPr>
        <w:t>Maintain a public library of model contracts, failures, audits, cost curves, and citizen outcomes. Allow states and communities to adopt proven designs while preserving national rights and competition standards. Purple should spread by proof, not by demanding ideological conformity.</w:t>
      </w:r>
    </w:p>
    <w:p>
      <w:pPr>
        <w:pStyle w:val="Heading2"/>
      </w:pPr>
      <w:r>
        <w:t>The Purple dashboard</w:t>
      </w:r>
    </w:p>
    <w:tbl>
      <w:tblPr>
        <w:tblStyle w:val="TableGrid"/>
        <w:tblW w:type="dxa" w:w="9360"/>
        <w:jc w:val="left"/>
        <w:tblLayout w:type="fixed"/>
        <w:tblLook w:firstColumn="1" w:firstRow="1" w:lastColumn="0" w:lastRow="0" w:noHBand="0" w:noVBand="1" w:val="04A0"/>
        <w:tblInd w:w="120" w:type="dxa"/>
      </w:tblPr>
      <w:tblGrid>
        <w:gridCol w:w="2100"/>
        <w:gridCol w:w="4200"/>
        <w:gridCol w:w="3060"/>
      </w:tblGrid>
      <w:tr>
        <w:trPr>
          <w:tblHeader w:val="true"/>
        </w:trPr>
        <w:tc>
          <w:tcPr>
            <w:tcW w:type="dxa" w:w="210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Measure</w:t>
            </w:r>
          </w:p>
        </w:tc>
        <w:tc>
          <w:tcPr>
            <w:tcW w:type="dxa" w:w="420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What it reveals</w:t>
            </w:r>
          </w:p>
        </w:tc>
        <w:tc>
          <w:tcPr>
            <w:tcW w:type="dxa" w:w="3060"/>
            <w:shd w:fill="54207A"/>
            <w:vAlign w:val="center"/>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pPr>
            <w:r>
              <w:rPr>
                <w:rFonts w:ascii="Calibri" w:hAnsi="Calibri"/>
                <w:b/>
                <w:color w:val="FFFFFF"/>
                <w:sz w:val="17"/>
              </w:rPr>
              <w:t>Guard against</w:t>
            </w:r>
          </w:p>
        </w:tc>
      </w:tr>
      <w:tr>
        <w:trPr>
          <w:cantSplit/>
        </w:trPr>
        <w:tc>
          <w:tcPr>
            <w:tcW w:type="dxa" w:w="21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Essential-cost burden</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Share of household income spent on food, housing, energy, transport, and healthcare.</w:t>
            </w:r>
          </w:p>
        </w:tc>
        <w:tc>
          <w:tcPr>
            <w:tcW w:type="dxa" w:w="30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Subsidy that hides rather than lowers unit cost.</w:t>
            </w:r>
          </w:p>
        </w:tc>
      </w:tr>
      <w:tr>
        <w:trPr>
          <w:cantSplit/>
        </w:trPr>
        <w:tc>
          <w:tcPr>
            <w:tcW w:type="dxa" w:w="21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Capability gain</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Credentials, health access, tools, savings, networks, and job mobility.</w:t>
            </w:r>
          </w:p>
        </w:tc>
        <w:tc>
          <w:tcPr>
            <w:tcW w:type="dxa" w:w="30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Enrollment counted as success.</w:t>
            </w:r>
          </w:p>
        </w:tc>
      </w:tr>
      <w:tr>
        <w:trPr>
          <w:cantSplit/>
        </w:trPr>
        <w:tc>
          <w:tcPr>
            <w:tcW w:type="dxa" w:w="21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Ownership gain</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Net assets, equity, emergency savings, and productive equipment.</w:t>
            </w:r>
          </w:p>
        </w:tc>
        <w:tc>
          <w:tcPr>
            <w:tcW w:type="dxa" w:w="30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Temporary income without a retained asset.</w:t>
            </w:r>
          </w:p>
        </w:tc>
      </w:tr>
      <w:tr>
        <w:trPr>
          <w:cantSplit/>
        </w:trPr>
        <w:tc>
          <w:tcPr>
            <w:tcW w:type="dxa" w:w="21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Exit power</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Ability to change job, provider, housing, or program without crisis.</w:t>
            </w:r>
          </w:p>
        </w:tc>
        <w:tc>
          <w:tcPr>
            <w:tcW w:type="dxa" w:w="30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Captive participation or vendor lock-in.</w:t>
            </w:r>
          </w:p>
        </w:tc>
      </w:tr>
      <w:tr>
        <w:trPr>
          <w:cantSplit/>
        </w:trPr>
        <w:tc>
          <w:tcPr>
            <w:tcW w:type="dxa" w:w="21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Public cost</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Total and per-success cost, including administration and tax expenditure.</w:t>
            </w:r>
          </w:p>
        </w:tc>
        <w:tc>
          <w:tcPr>
            <w:tcW w:type="dxa" w:w="30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Off-budget compensation.</w:t>
            </w:r>
          </w:p>
        </w:tc>
      </w:tr>
      <w:tr>
        <w:trPr>
          <w:cantSplit/>
        </w:trPr>
        <w:tc>
          <w:tcPr>
            <w:tcW w:type="dxa" w:w="21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Competition</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Qualified bidders, market share, switching cost, and interoperability.</w:t>
            </w:r>
          </w:p>
        </w:tc>
        <w:tc>
          <w:tcPr>
            <w:tcW w:type="dxa" w:w="30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A public contract creating a private monopoly.</w:t>
            </w:r>
          </w:p>
        </w:tc>
      </w:tr>
      <w:tr>
        <w:trPr>
          <w:cantSplit/>
        </w:trPr>
        <w:tc>
          <w:tcPr>
            <w:tcW w:type="dxa" w:w="21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Equity and rights</w:t>
            </w:r>
          </w:p>
        </w:tc>
        <w:tc>
          <w:tcPr>
            <w:tcW w:type="dxa" w:w="420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Distribution of benefits, complaints, appeals, and disparate impact.</w:t>
            </w:r>
          </w:p>
        </w:tc>
        <w:tc>
          <w:tcPr>
            <w:tcW w:type="dxa" w:w="3060"/>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Efficiency achieved by excluding difficult cases.</w:t>
            </w:r>
          </w:p>
        </w:tc>
      </w:tr>
      <w:tr>
        <w:trPr>
          <w:cantSplit/>
        </w:trPr>
        <w:tc>
          <w:tcPr>
            <w:tcW w:type="dxa" w:w="21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color w:val="202027"/>
                <w:sz w:val="17"/>
              </w:rPr>
              <w:t>Durability</w:t>
            </w:r>
          </w:p>
        </w:tc>
        <w:tc>
          <w:tcPr>
            <w:tcW w:type="dxa" w:w="420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Whether outcomes remain one, three, and five years after support.</w:t>
            </w:r>
          </w:p>
        </w:tc>
        <w:tc>
          <w:tcPr>
            <w:tcW w:type="dxa" w:w="3060"/>
            <w:shd w:fill="F4F6F9"/>
            <w:vAlign w:val="top"/>
            <w:tcMar>
              <w:top w:w="100" w:type="dxa"/>
              <w:start w:w="120" w:type="dxa"/>
              <w:bottom w:w="100" w:type="dxa"/>
              <w:end w:w="120" w:type="dxa"/>
            </w:tcMar>
            <w:tcBorders>
              <w:top w:val="single" w:sz="4" w:color="D8D0DE"/>
              <w:start w:val="single" w:sz="4" w:color="D8D0DE"/>
              <w:bottom w:val="single" w:sz="4" w:color="D8D0DE"/>
              <w:end w:val="single" w:sz="4" w:color="D8D0DE"/>
            </w:tcBorders>
          </w:tcPr>
          <w:p>
            <w:pPr>
              <w:spacing w:after="0" w:line="252" w:lineRule="auto"/>
            </w:pPr>
            <w:r>
              <w:rPr>
                <w:rFonts w:ascii="Calibri" w:hAnsi="Calibri"/>
                <w:b w:val="0"/>
                <w:color w:val="202027"/>
                <w:sz w:val="17"/>
              </w:rPr>
              <w:t>Short-term gains that disappear after payment.</w:t>
            </w:r>
          </w:p>
        </w:tc>
      </w:tr>
    </w:tbl>
    <w:p>
      <w:pPr>
        <w:spacing w:after="60"/>
      </w:pPr>
    </w:p>
    <w:p>
      <w:pPr>
        <w:pStyle w:val="Heading2"/>
      </w:pPr>
      <w:r>
        <w:t>Financing without fantasy</w:t>
      </w:r>
    </w:p>
    <w:p>
      <w:pPr>
        <w:keepNext w:val="0"/>
        <w:widowControl/>
        <w:spacing w:before="0" w:after="160" w:line="320" w:lineRule="auto"/>
        <w:ind w:firstLine="360"/>
      </w:pPr>
      <w:r>
        <w:rPr>
          <w:rFonts w:ascii="Calibri" w:hAnsi="Calibri"/>
          <w:color w:val="202027"/>
          <w:sz w:val="22"/>
        </w:rPr>
        <w:t>Purple cannot begin with the claim that taxes disappear. A constitutional government requires revenue, and pilots require appropriations or authorized exchanges of value. Early funding can come from redirected program dollars, competitive procurement, capped outcome payments, philanthropy, employer contributions, and limited savings-sharing. Tax reductions should follow verified reductions in recurring obligations, not precede them as a promise.</w:t>
      </w:r>
    </w:p>
    <w:p>
      <w:pPr>
        <w:keepNext w:val="0"/>
        <w:widowControl/>
        <w:spacing w:before="0" w:after="160" w:line="320" w:lineRule="auto"/>
        <w:ind w:firstLine="360"/>
      </w:pPr>
      <w:r>
        <w:rPr>
          <w:rFonts w:ascii="Calibri" w:hAnsi="Calibri"/>
          <w:color w:val="202027"/>
          <w:sz w:val="22"/>
        </w:rPr>
        <w:t>Every proposal should receive an independent fiscal score under conservative assumptions. The score must show cash timing, downside exposure, distribution effects, administrative cost, and what happens if the contractor fails. That is how Purple distinguishes a statesman contract from a political deal.</w:t>
      </w:r>
    </w:p>
    <w:p>
      <w:r>
        <w:br w:type="page"/>
      </w:r>
    </w:p>
    <w:p>
      <w:pPr>
        <w:spacing w:before="200" w:after="100"/>
      </w:pPr>
      <w:r>
        <w:rPr>
          <w:rFonts w:ascii="Calibri" w:hAnsi="Calibri"/>
          <w:b/>
          <w:smallCaps/>
          <w:color w:val="C6A24A"/>
          <w:sz w:val="20"/>
        </w:rPr>
        <w:t>CHAPTER FOURTEEN</w:t>
      </w:r>
    </w:p>
    <w:p>
      <w:pPr>
        <w:pStyle w:val="Heading1"/>
      </w:pPr>
      <w:r>
        <w:t>The Hard Objections</w:t>
      </w:r>
    </w:p>
    <w:p>
      <w:pPr>
        <w:keepNext/>
        <w:spacing w:after="360"/>
      </w:pPr>
      <w:r>
        <w:rPr>
          <w:rFonts w:ascii="Calibri" w:hAnsi="Calibri"/>
          <w:i/>
          <w:color w:val="66616B"/>
          <w:sz w:val="25"/>
        </w:rPr>
        <w:t>A movement becomes stronger when it answers the questions most likely to expose its weakness.</w:t>
      </w:r>
    </w:p>
    <w:p>
      <w:pPr>
        <w:pStyle w:val="Heading2"/>
      </w:pPr>
      <w:r>
        <w:t>"This is just privatization with better branding."</w:t>
      </w:r>
    </w:p>
    <w:p>
      <w:pPr>
        <w:keepNext w:val="0"/>
        <w:widowControl/>
        <w:spacing w:before="0" w:after="160" w:line="320" w:lineRule="auto"/>
        <w:ind w:firstLine="360"/>
      </w:pPr>
      <w:r>
        <w:rPr>
          <w:rFonts w:ascii="Calibri" w:hAnsi="Calibri"/>
          <w:color w:val="202027"/>
          <w:sz w:val="22"/>
        </w:rPr>
        <w:t>It would be if government simply transferred a public function to a favored firm. The Purple model requires open competition, public baselines, outcome-based compensation, audit rights, interoperability, clawbacks, and sunset. Public and cooperative providers may compete. The objective is not privatization; it is verified performance under constitutional rules.</w:t>
      </w:r>
    </w:p>
    <w:p>
      <w:pPr>
        <w:pStyle w:val="Heading2"/>
      </w:pPr>
      <w:r>
        <w:t>"Companies will manipulate the metrics."</w:t>
      </w:r>
    </w:p>
    <w:p>
      <w:pPr>
        <w:keepNext w:val="0"/>
        <w:widowControl/>
        <w:spacing w:before="0" w:after="160" w:line="320" w:lineRule="auto"/>
        <w:ind w:firstLine="360"/>
      </w:pPr>
      <w:r>
        <w:rPr>
          <w:rFonts w:ascii="Calibri" w:hAnsi="Calibri"/>
          <w:color w:val="202027"/>
          <w:sz w:val="22"/>
        </w:rPr>
        <w:t>Some will try. Metrics must therefore be independently administered, resistant to cherry-picking, adjusted for case difficulty, and paired with qualitative audits and citizen appeals. Payments should be held back until outcomes persist. Fraud must carry penalties greater than the expected gain.</w:t>
      </w:r>
    </w:p>
    <w:p>
      <w:pPr>
        <w:pStyle w:val="Heading2"/>
      </w:pPr>
      <w:r>
        <w:t>"Not everyone can become independent."</w:t>
      </w:r>
    </w:p>
    <w:p>
      <w:pPr>
        <w:keepNext w:val="0"/>
        <w:widowControl/>
        <w:spacing w:before="0" w:after="160" w:line="320" w:lineRule="auto"/>
        <w:ind w:firstLine="360"/>
      </w:pPr>
      <w:r>
        <w:rPr>
          <w:rFonts w:ascii="Calibri" w:hAnsi="Calibri"/>
          <w:color w:val="202027"/>
          <w:sz w:val="22"/>
        </w:rPr>
        <w:t>Correct. Purple is not a moral ranking of people by earnings or employment. Children, older people, caregivers, and people with disabilities may require long-term support. The secure floor is permanent where human reality requires it. The independence standard applies to system design: build as much agency as each person can reasonably hold, never withdraw dignity because a person cannot climb the same staircase.</w:t>
      </w:r>
    </w:p>
    <w:p>
      <w:pPr>
        <w:pStyle w:val="Heading2"/>
      </w:pPr>
      <w:r>
        <w:t>"Human capital language reduces people to economic units."</w:t>
      </w:r>
    </w:p>
    <w:p>
      <w:pPr>
        <w:keepNext w:val="0"/>
        <w:widowControl/>
        <w:spacing w:before="0" w:after="160" w:line="320" w:lineRule="auto"/>
        <w:ind w:firstLine="360"/>
      </w:pPr>
      <w:r>
        <w:rPr>
          <w:rFonts w:ascii="Calibri" w:hAnsi="Calibri"/>
          <w:color w:val="202027"/>
          <w:sz w:val="22"/>
        </w:rPr>
        <w:t>It can, if used carelessly. In the Purple Way, human capital is not a price placed on a person. It is a name for capacities that enlarge freedom. Love, citizenship, faith, family, creativity, and moral worth exceed economic measurement. Metrics serve people; people do not exist to improve metrics.</w:t>
      </w:r>
    </w:p>
    <w:p>
      <w:pPr>
        <w:pStyle w:val="Heading2"/>
      </w:pPr>
      <w:r>
        <w:t>"What prevents a new corporate oligarchy?"</w:t>
      </w:r>
    </w:p>
    <w:p>
      <w:pPr>
        <w:keepNext w:val="0"/>
        <w:widowControl/>
        <w:spacing w:before="0" w:after="160" w:line="320" w:lineRule="auto"/>
        <w:ind w:firstLine="360"/>
      </w:pPr>
      <w:r>
        <w:rPr>
          <w:rFonts w:ascii="Calibri" w:hAnsi="Calibri"/>
          <w:color w:val="202027"/>
          <w:sz w:val="22"/>
        </w:rPr>
        <w:t xml:space="preserve">Competition law, limits on exclusivity, ownership diversification, open standards, public data, conflict disclosures, campaign-finance rules, and regular rebidding. The FTC warns that anticompetitive practices can mean higher prices, reduced quality, and less innovation. </w:t>
      </w:r>
      <w:r>
        <w:rPr>
          <w:rFonts w:ascii="Calibri" w:hAnsi="Calibri"/>
          <w:b/>
          <w:color w:val="54207A"/>
          <w:sz w:val="16"/>
          <w:vertAlign w:val="superscript"/>
        </w:rPr>
        <w:t>[8]</w:t>
      </w:r>
      <w:r>
        <w:rPr>
          <w:rFonts w:ascii="Calibri" w:hAnsi="Calibri"/>
          <w:color w:val="202027"/>
          <w:sz w:val="22"/>
        </w:rPr>
        <w:t xml:space="preserve"> A Purple contract that entrenches monopoly contradicts Purple doctrine.</w:t>
      </w:r>
    </w:p>
    <w:p>
      <w:pPr>
        <w:pStyle w:val="Heading2"/>
      </w:pPr>
      <w:r>
        <w:t>"Why not simply tax the rich and provide everything universally?"</w:t>
      </w:r>
    </w:p>
    <w:p>
      <w:pPr>
        <w:keepNext w:val="0"/>
        <w:widowControl/>
        <w:spacing w:before="0" w:after="160" w:line="320" w:lineRule="auto"/>
        <w:ind w:firstLine="360"/>
      </w:pPr>
      <w:r>
        <w:rPr>
          <w:rFonts w:ascii="Calibri" w:hAnsi="Calibri"/>
          <w:color w:val="202027"/>
          <w:sz w:val="22"/>
        </w:rPr>
        <w:t>Taxes can finance legitimate public obligations, and progressive taxation can be justified. But taxation changes who pays; it does not by itself increase the supply or lower the unit cost of medicine, housing, food, energy, or education. Purple focuses on both sides of the ledger: fair financing and productive reform.</w:t>
      </w:r>
    </w:p>
    <w:p>
      <w:pPr>
        <w:pStyle w:val="Heading2"/>
      </w:pPr>
      <w:r>
        <w:t>"Is Purple too slow for an emergency?"</w:t>
      </w:r>
    </w:p>
    <w:p>
      <w:pPr>
        <w:keepNext w:val="0"/>
        <w:widowControl/>
        <w:spacing w:before="0" w:after="160" w:line="320" w:lineRule="auto"/>
        <w:ind w:firstLine="360"/>
      </w:pPr>
      <w:r>
        <w:rPr>
          <w:rFonts w:ascii="Calibri" w:hAnsi="Calibri"/>
          <w:color w:val="202027"/>
          <w:sz w:val="22"/>
        </w:rPr>
        <w:t>Emergency relief should be fast. The staircase can follow once danger is contained. Purple's objection is not to speed; it is to allowing an emergency instrument to become the permanent operating model without learning why the emergency keeps returning.</w:t>
      </w:r>
    </w:p>
    <w:p>
      <w:pPr>
        <w:pStyle w:val="Heading2"/>
      </w:pPr>
      <w:r>
        <w:t>"Can Purple guarantee lower inflation or lower interest rates?"</w:t>
      </w:r>
    </w:p>
    <w:p>
      <w:pPr>
        <w:keepNext w:val="0"/>
        <w:widowControl/>
        <w:spacing w:before="0" w:after="160" w:line="320" w:lineRule="auto"/>
        <w:ind w:firstLine="360"/>
      </w:pPr>
      <w:r>
        <w:rPr>
          <w:rFonts w:ascii="Calibri" w:hAnsi="Calibri"/>
          <w:color w:val="202027"/>
          <w:sz w:val="22"/>
        </w:rPr>
        <w:t xml:space="preserve">No honest system can guarantee macroeconomic outcomes controlled by many domestic and global forces. Purple can improve the underlying conditions: productivity, supply, savings, resilience, competition, and fiscal pressure. The Federal Reserve remains operationally independent and responds to economic data. </w:t>
      </w:r>
      <w:r>
        <w:rPr>
          <w:rFonts w:ascii="Calibri" w:hAnsi="Calibri"/>
          <w:b/>
          <w:color w:val="54207A"/>
          <w:sz w:val="16"/>
          <w:vertAlign w:val="superscript"/>
        </w:rPr>
        <w:t>[4]</w:t>
      </w:r>
    </w:p>
    <w:p>
      <w:r>
        <w:br w:type="page"/>
      </w:r>
    </w:p>
    <w:p>
      <w:pPr>
        <w:spacing w:before="200" w:after="100"/>
      </w:pPr>
      <w:r>
        <w:rPr>
          <w:rFonts w:ascii="Calibri" w:hAnsi="Calibri"/>
          <w:b/>
          <w:smallCaps/>
          <w:color w:val="C6A24A"/>
          <w:sz w:val="20"/>
        </w:rPr>
        <w:t>CHAPTER FIFTEEN</w:t>
      </w:r>
    </w:p>
    <w:p>
      <w:pPr>
        <w:pStyle w:val="Heading1"/>
      </w:pPr>
      <w:r>
        <w:t>The Citizen's Choice</w:t>
      </w:r>
    </w:p>
    <w:p>
      <w:pPr>
        <w:keepNext/>
        <w:spacing w:after="360"/>
      </w:pPr>
      <w:r>
        <w:rPr>
          <w:rFonts w:ascii="Calibri" w:hAnsi="Calibri"/>
          <w:i/>
          <w:color w:val="66616B"/>
          <w:sz w:val="25"/>
        </w:rPr>
        <w:t>Choose the system that leaves the greatest durable power in the hands of the citizen.</w:t>
      </w:r>
    </w:p>
    <w:p>
      <w:pPr>
        <w:keepNext w:val="0"/>
        <w:widowControl/>
        <w:spacing w:before="0" w:after="160" w:line="320" w:lineRule="auto"/>
        <w:ind w:firstLine="360"/>
      </w:pPr>
      <w:r>
        <w:rPr>
          <w:rFonts w:ascii="Calibri" w:hAnsi="Calibri"/>
          <w:color w:val="202027"/>
          <w:sz w:val="22"/>
        </w:rPr>
        <w:t>The Democratic Socialists of America asks Americans to believe that working people will become freer when key economic institutions are collectively owned, public guarantees are expanded, and political power is reorganized around the working class. The appeal rests on solidarity and security. The danger rests in concentration, fiscal scale, institutional rigidity, and the assumption that democratic ownership will reliably create good performance.</w:t>
      </w:r>
    </w:p>
    <w:p>
      <w:pPr>
        <w:keepNext w:val="0"/>
        <w:widowControl/>
        <w:spacing w:before="0" w:after="160" w:line="320" w:lineRule="auto"/>
        <w:ind w:firstLine="360"/>
      </w:pPr>
      <w:r>
        <w:rPr>
          <w:rFonts w:ascii="Calibri" w:hAnsi="Calibri"/>
          <w:color w:val="202027"/>
          <w:sz w:val="22"/>
        </w:rPr>
        <w:t>The Purple Way asks Americans to believe that compassion, enterprise, and constitutional restraint can be organized around a new public objective: the production of human capability and lower recurring costs. Its secure floor protects people. Its staircase builds assets. Its contracts make public benefit profitable. Its transparency makes failure visible. Its pluralism refuses to make either the corporation or the state the single center of national life.</w:t>
      </w:r>
    </w:p>
    <w:p>
      <w:pPr>
        <w:pStyle w:val="Heading2"/>
      </w:pPr>
      <w:r>
        <w:t>Why Purple is the better choice</w:t>
      </w:r>
    </w:p>
    <w:p>
      <w:pPr>
        <w:pStyle w:val="ListBullet"/>
        <w:spacing w:after="80" w:line="290" w:lineRule="auto"/>
        <w:ind w:left="540" w:hanging="279"/>
      </w:pPr>
      <w:r>
        <w:rPr>
          <w:rFonts w:ascii="Calibri" w:hAnsi="Calibri"/>
          <w:color w:val="202027"/>
          <w:sz w:val="22"/>
        </w:rPr>
        <w:t>It treats people as future producers, owners, decision-makers, and citizens - not only workers, consumers, taxpayers, or recipients.</w:t>
      </w:r>
    </w:p>
    <w:p>
      <w:pPr>
        <w:pStyle w:val="ListBullet"/>
        <w:spacing w:after="80" w:line="290" w:lineRule="auto"/>
        <w:ind w:left="540" w:hanging="279"/>
      </w:pPr>
      <w:r>
        <w:rPr>
          <w:rFonts w:ascii="Calibri" w:hAnsi="Calibri"/>
          <w:color w:val="202027"/>
          <w:sz w:val="22"/>
        </w:rPr>
        <w:t>It joins immediate protection with a designed path toward greater choice and independence.</w:t>
      </w:r>
    </w:p>
    <w:p>
      <w:pPr>
        <w:pStyle w:val="ListBullet"/>
        <w:spacing w:after="80" w:line="290" w:lineRule="auto"/>
        <w:ind w:left="540" w:hanging="279"/>
      </w:pPr>
      <w:r>
        <w:rPr>
          <w:rFonts w:ascii="Calibri" w:hAnsi="Calibri"/>
          <w:color w:val="202027"/>
          <w:sz w:val="22"/>
        </w:rPr>
        <w:t>It attacks the cost structure of essential goods and services instead of only changing who pays the bill.</w:t>
      </w:r>
    </w:p>
    <w:p>
      <w:pPr>
        <w:pStyle w:val="ListBullet"/>
        <w:spacing w:after="80" w:line="290" w:lineRule="auto"/>
        <w:ind w:left="540" w:hanging="279"/>
      </w:pPr>
      <w:r>
        <w:rPr>
          <w:rFonts w:ascii="Calibri" w:hAnsi="Calibri"/>
          <w:color w:val="202027"/>
          <w:sz w:val="22"/>
        </w:rPr>
        <w:t>It harnesses ambition and profit while refusing monopoly, secrecy, favoritism, or payment for failure.</w:t>
      </w:r>
    </w:p>
    <w:p>
      <w:pPr>
        <w:pStyle w:val="ListBullet"/>
        <w:spacing w:after="80" w:line="290" w:lineRule="auto"/>
        <w:ind w:left="540" w:hanging="279"/>
      </w:pPr>
      <w:r>
        <w:rPr>
          <w:rFonts w:ascii="Calibri" w:hAnsi="Calibri"/>
          <w:color w:val="202027"/>
          <w:sz w:val="22"/>
        </w:rPr>
        <w:t>It preserves constitutional rights, plural ownership, federal experimentation, and reversibility.</w:t>
      </w:r>
    </w:p>
    <w:p>
      <w:pPr>
        <w:pStyle w:val="ListBullet"/>
        <w:spacing w:after="80" w:line="290" w:lineRule="auto"/>
        <w:ind w:left="540" w:hanging="279"/>
      </w:pPr>
      <w:r>
        <w:rPr>
          <w:rFonts w:ascii="Calibri" w:hAnsi="Calibri"/>
          <w:color w:val="202027"/>
          <w:sz w:val="22"/>
        </w:rPr>
        <w:t>It measures what remains in a person's hands after the program ends.</w:t>
      </w:r>
    </w:p>
    <w:p>
      <w:pPr>
        <w:keepNext w:val="0"/>
        <w:widowControl/>
        <w:spacing w:before="0" w:after="160" w:line="320" w:lineRule="auto"/>
        <w:ind w:firstLine="360"/>
      </w:pPr>
      <w:r>
        <w:rPr>
          <w:rFonts w:ascii="Calibri" w:hAnsi="Calibri"/>
          <w:color w:val="202027"/>
          <w:sz w:val="22"/>
        </w:rPr>
        <w:t>The Purple Way is superior not because it promises a painless society, but because it places the right burden of proof on power. Government must prove that it protects and builds capability. Business must prove that its reward corresponds to public value. Programs must prove that benefits endure. Citizens retain the right to see, choose, appeal, compete, and exit.</w:t>
      </w:r>
    </w:p>
    <w:p>
      <w:pPr>
        <w:pStyle w:val="Heading2"/>
      </w:pPr>
      <w:r>
        <w:t>A declaration of direction</w:t>
      </w:r>
    </w:p>
    <w:p>
      <w:pPr>
        <w:keepNext w:val="0"/>
        <w:widowControl/>
        <w:spacing w:before="0" w:after="160" w:line="320" w:lineRule="auto"/>
        <w:ind w:firstLine="360"/>
      </w:pPr>
      <w:r>
        <w:rPr>
          <w:rFonts w:ascii="Calibri" w:hAnsi="Calibri"/>
          <w:color w:val="202027"/>
          <w:sz w:val="22"/>
        </w:rPr>
        <w:t>America does not have to choose between an establishment that manages decline and a socialist movement that concentrates the remedy. It can choose a nation that sees knowledge, health, skill, savings, ownership, production, and trust as its deepest reserve. It can become a bank with feet - millions of people carrying more real capacity into every home, workplace, and community.</w:t>
      </w:r>
    </w:p>
    <w:p>
      <w:pPr>
        <w:spacing w:before="120" w:after="240" w:line="288" w:lineRule="auto"/>
        <w:ind w:left="346" w:right="173"/>
        <w:shd w:fill="F4EFF8"/>
        <w:pBdr>
          <w:left w:val="single" w:sz="18" w:space="8" w:color="C6A24A"/>
        </w:pBdr>
      </w:pPr>
      <w:r>
        <w:rPr>
          <w:rFonts w:ascii="Calibri" w:hAnsi="Calibri"/>
          <w:b/>
          <w:color w:val="321447"/>
          <w:sz w:val="22"/>
        </w:rPr>
        <w:t xml:space="preserve">The choice: </w:t>
      </w:r>
      <w:r>
        <w:rPr>
          <w:rFonts w:ascii="Calibri" w:hAnsi="Calibri"/>
          <w:color w:val="202027"/>
          <w:sz w:val="22"/>
        </w:rPr>
        <w:t>If the goal is a secure people who become more capable, more independent, more prosperous, and harder for any institution to control, choose the Purple Way.</w:t>
      </w:r>
    </w:p>
    <w:p>
      <w:r>
        <w:br w:type="page"/>
      </w:r>
    </w:p>
    <w:p>
      <w:pPr>
        <w:spacing w:after="240"/>
        <w:jc w:val="center"/>
      </w:pPr>
      <w:r>
        <w:rPr>
          <w:rFonts w:ascii="Calibri" w:hAnsi="Calibri"/>
          <w:b/>
          <w:smallCaps/>
          <w:color w:val="C6A24A"/>
          <w:sz w:val="20"/>
        </w:rPr>
        <w:t>INDEPENDENT ANALYSIS</w:t>
      </w:r>
    </w:p>
    <w:p>
      <w:pPr>
        <w:pStyle w:val="Heading1"/>
        <w:jc w:val="center"/>
      </w:pPr>
      <w:r>
        <w:t>Independent AI Assessment</w:t>
      </w:r>
    </w:p>
    <w:p>
      <w:pPr>
        <w:spacing w:after="400"/>
        <w:jc w:val="center"/>
      </w:pPr>
      <w:r>
        <w:rPr>
          <w:rFonts w:ascii="Calibri" w:hAnsi="Calibri"/>
          <w:i/>
          <w:color w:val="66616B"/>
          <w:sz w:val="21"/>
        </w:rPr>
        <w:t>A reasoned judgment, not a claim of political neutrality or scientific certainty</w:t>
      </w:r>
    </w:p>
    <w:p>
      <w:pPr>
        <w:keepNext w:val="0"/>
        <w:widowControl/>
        <w:spacing w:before="0" w:after="160" w:line="320" w:lineRule="auto"/>
        <w:ind w:firstLine="360"/>
      </w:pPr>
      <w:r>
        <w:rPr>
          <w:rFonts w:ascii="Calibri" w:hAnsi="Calibri"/>
          <w:color w:val="202027"/>
          <w:sz w:val="22"/>
        </w:rPr>
        <w:t xml:space="preserve">Between the Democratic Socialists of America's published governing direction and the Purple Way as defined in this book, </w:t>
      </w:r>
      <w:r>
        <w:rPr>
          <w:rFonts w:ascii="Calibri" w:hAnsi="Calibri"/>
          <w:b/>
          <w:color w:val="202027"/>
          <w:sz w:val="22"/>
        </w:rPr>
        <w:t>the Purple Way is the better system to choose as a long-term governing philosophy</w:t>
      </w:r>
      <w:r>
        <w:rPr>
          <w:rFonts w:ascii="Calibri" w:hAnsi="Calibri"/>
          <w:color w:val="202027"/>
          <w:sz w:val="22"/>
        </w:rPr>
        <w:t>. The decisive reason is that it uses a broader and more durable definition of power. DSA primarily seeks security and democracy through collective control, public ownership, universal guarantees, and class organization. Purple seeks security through a floor while also dispersing productive capacity, ownership, choice, and exit power.</w:t>
      </w:r>
    </w:p>
    <w:p>
      <w:pPr>
        <w:keepNext w:val="0"/>
        <w:widowControl/>
        <w:spacing w:before="0" w:after="160" w:line="320" w:lineRule="auto"/>
        <w:ind w:firstLine="360"/>
      </w:pPr>
      <w:r>
        <w:rPr>
          <w:rFonts w:ascii="Calibri" w:hAnsi="Calibri"/>
          <w:color w:val="202027"/>
          <w:sz w:val="22"/>
        </w:rPr>
        <w:t>Purple is also institutionally safer. It favors pilots, competition among provider types, public metrics, sunset clauses, independent audit, clawbacks, federalism, and constitutional rights. These mechanisms make mistakes easier to identify and reverse. DSA's most ambitious changes would enlarge national commitments and restructure major institutions before the full operating and fiscal details are proven.</w:t>
      </w:r>
    </w:p>
    <w:p>
      <w:pPr>
        <w:keepNext w:val="0"/>
        <w:widowControl/>
        <w:spacing w:before="0" w:after="160" w:line="320" w:lineRule="auto"/>
        <w:ind w:firstLine="360"/>
      </w:pPr>
      <w:r>
        <w:rPr>
          <w:rFonts w:ascii="Calibri" w:hAnsi="Calibri"/>
          <w:color w:val="202027"/>
          <w:sz w:val="22"/>
        </w:rPr>
        <w:t>This assessment is conditional. The Purple Way is currently stronger as a governing logic than as a complete legislative program. It must produce model laws, fiscal scores, actuarial designs, procurement rules, civil-rights protections, antitrust safeguards, and credible pilots. It must never claim that preventive health replaces medical care, that barter automatically escapes taxation, that contracts eliminate the need for government, or that monetary contraction can safely force prices back to a chosen historical level.</w:t>
      </w:r>
    </w:p>
    <w:p>
      <w:pPr>
        <w:keepNext w:val="0"/>
        <w:widowControl/>
        <w:spacing w:before="0" w:after="160" w:line="320" w:lineRule="auto"/>
        <w:ind w:firstLine="360"/>
      </w:pPr>
      <w:r>
        <w:rPr>
          <w:rFonts w:ascii="Calibri" w:hAnsi="Calibri"/>
          <w:color w:val="202027"/>
          <w:sz w:val="22"/>
        </w:rPr>
        <w:t>DSA retains an advantage in organizational maturity and in the simplicity of its promise of universal security. Purple should learn from that clarity. But a simple promise is not enough. On the more demanding tests - durable capability, ownership, pluralism, productive abundance, fiscal adaptability, liberty, and reversibility - Purple offers the superior direction.</w:t>
      </w:r>
    </w:p>
    <w:p>
      <w:pPr>
        <w:spacing w:before="120" w:after="240" w:line="288" w:lineRule="auto"/>
        <w:ind w:left="346" w:right="173"/>
        <w:shd w:fill="F4EFF8"/>
        <w:pBdr>
          <w:left w:val="single" w:sz="18" w:space="8" w:color="C6A24A"/>
        </w:pBdr>
      </w:pPr>
      <w:r>
        <w:rPr>
          <w:rFonts w:ascii="Calibri" w:hAnsi="Calibri"/>
          <w:b/>
          <w:color w:val="321447"/>
          <w:sz w:val="22"/>
        </w:rPr>
        <w:t xml:space="preserve">AI conclusion: </w:t>
      </w:r>
      <w:r>
        <w:rPr>
          <w:rFonts w:ascii="Calibri" w:hAnsi="Calibri"/>
          <w:color w:val="202027"/>
          <w:sz w:val="22"/>
        </w:rPr>
        <w:t>Choose the Purple Way - then require it to prove itself through transparent, constitutional, measurable performance.</w:t>
      </w:r>
    </w:p>
    <w:p>
      <w:r>
        <w:br w:type="page"/>
      </w:r>
    </w:p>
    <w:p>
      <w:pPr>
        <w:pStyle w:val="Heading1"/>
      </w:pPr>
      <w:r>
        <w:t>Appendix A: Model Purple Public-Benefit Contract</w:t>
      </w:r>
    </w:p>
    <w:p>
      <w:pPr>
        <w:keepLines/>
        <w:spacing w:after="140"/>
      </w:pPr>
      <w:r>
        <w:rPr>
          <w:rFonts w:ascii="Calibri" w:hAnsi="Calibri"/>
          <w:b/>
          <w:color w:val="54207A"/>
          <w:sz w:val="22"/>
        </w:rPr>
        <w:t xml:space="preserve">Public purpose. </w:t>
      </w:r>
      <w:r>
        <w:rPr>
          <w:rFonts w:ascii="Calibri" w:hAnsi="Calibri"/>
          <w:color w:val="202027"/>
          <w:sz w:val="22"/>
        </w:rPr>
        <w:t>Name one burden to reduce or one capability to create. Define the affected population and lawful authority.</w:t>
      </w:r>
    </w:p>
    <w:p>
      <w:pPr>
        <w:keepLines/>
        <w:spacing w:after="140"/>
      </w:pPr>
      <w:r>
        <w:rPr>
          <w:rFonts w:ascii="Calibri" w:hAnsi="Calibri"/>
          <w:b/>
          <w:color w:val="54207A"/>
          <w:sz w:val="22"/>
        </w:rPr>
        <w:t xml:space="preserve">Baseline. </w:t>
      </w:r>
      <w:r>
        <w:rPr>
          <w:rFonts w:ascii="Calibri" w:hAnsi="Calibri"/>
          <w:color w:val="202027"/>
          <w:sz w:val="22"/>
        </w:rPr>
        <w:t>Publish current cost, service level, distribution, data quality, and counterfactual comparison.</w:t>
      </w:r>
    </w:p>
    <w:p>
      <w:pPr>
        <w:keepLines/>
        <w:spacing w:after="140"/>
      </w:pPr>
      <w:r>
        <w:rPr>
          <w:rFonts w:ascii="Calibri" w:hAnsi="Calibri"/>
          <w:b/>
          <w:color w:val="54207A"/>
          <w:sz w:val="22"/>
        </w:rPr>
        <w:t xml:space="preserve">Outcome. </w:t>
      </w:r>
      <w:r>
        <w:rPr>
          <w:rFonts w:ascii="Calibri" w:hAnsi="Calibri"/>
          <w:color w:val="202027"/>
          <w:sz w:val="22"/>
        </w:rPr>
        <w:t>State a measurable result, deadline, persistence period, and minimum equity standard.</w:t>
      </w:r>
    </w:p>
    <w:p>
      <w:pPr>
        <w:keepLines/>
        <w:spacing w:after="140"/>
      </w:pPr>
      <w:r>
        <w:rPr>
          <w:rFonts w:ascii="Calibri" w:hAnsi="Calibri"/>
          <w:b/>
          <w:color w:val="54207A"/>
          <w:sz w:val="22"/>
        </w:rPr>
        <w:t xml:space="preserve">Competition. </w:t>
      </w:r>
      <w:r>
        <w:rPr>
          <w:rFonts w:ascii="Calibri" w:hAnsi="Calibri"/>
          <w:color w:val="202027"/>
          <w:sz w:val="22"/>
        </w:rPr>
        <w:t>Use open qualification, disclose evaluation criteria, limit exclusivity, and preserve interoperability.</w:t>
      </w:r>
    </w:p>
    <w:p>
      <w:pPr>
        <w:keepLines/>
        <w:spacing w:after="140"/>
      </w:pPr>
      <w:r>
        <w:rPr>
          <w:rFonts w:ascii="Calibri" w:hAnsi="Calibri"/>
          <w:b/>
          <w:color w:val="54207A"/>
          <w:sz w:val="22"/>
        </w:rPr>
        <w:t xml:space="preserve">Public contribution. </w:t>
      </w:r>
      <w:r>
        <w:rPr>
          <w:rFonts w:ascii="Calibri" w:hAnsi="Calibri"/>
          <w:color w:val="202027"/>
          <w:sz w:val="22"/>
        </w:rPr>
        <w:t>Value every appropriation, credit, guarantee, property right, regulatory benefit, and in-kind contribution.</w:t>
      </w:r>
    </w:p>
    <w:p>
      <w:pPr>
        <w:keepLines/>
        <w:spacing w:after="140"/>
      </w:pPr>
      <w:r>
        <w:rPr>
          <w:rFonts w:ascii="Calibri" w:hAnsi="Calibri"/>
          <w:b/>
          <w:color w:val="54207A"/>
          <w:sz w:val="22"/>
        </w:rPr>
        <w:t xml:space="preserve">Partner contribution. </w:t>
      </w:r>
      <w:r>
        <w:rPr>
          <w:rFonts w:ascii="Calibri" w:hAnsi="Calibri"/>
          <w:color w:val="202027"/>
          <w:sz w:val="22"/>
        </w:rPr>
        <w:t>Value capital, services, infrastructure, discounts, training, credits, data, and risk assumed.</w:t>
      </w:r>
    </w:p>
    <w:p>
      <w:pPr>
        <w:keepLines/>
        <w:spacing w:after="140"/>
      </w:pPr>
      <w:r>
        <w:rPr>
          <w:rFonts w:ascii="Calibri" w:hAnsi="Calibri"/>
          <w:b/>
          <w:color w:val="54207A"/>
          <w:sz w:val="22"/>
        </w:rPr>
        <w:t xml:space="preserve">Verification. </w:t>
      </w:r>
      <w:r>
        <w:rPr>
          <w:rFonts w:ascii="Calibri" w:hAnsi="Calibri"/>
          <w:color w:val="202027"/>
          <w:sz w:val="22"/>
        </w:rPr>
        <w:t>Appoint an independent evaluator; define audit access, privacy, sampling, and error correction.</w:t>
      </w:r>
    </w:p>
    <w:p>
      <w:pPr>
        <w:keepLines/>
        <w:spacing w:after="140"/>
      </w:pPr>
      <w:r>
        <w:rPr>
          <w:rFonts w:ascii="Calibri" w:hAnsi="Calibri"/>
          <w:b/>
          <w:color w:val="54207A"/>
          <w:sz w:val="22"/>
        </w:rPr>
        <w:t xml:space="preserve">Payment. </w:t>
      </w:r>
      <w:r>
        <w:rPr>
          <w:rFonts w:ascii="Calibri" w:hAnsi="Calibri"/>
          <w:color w:val="202027"/>
          <w:sz w:val="22"/>
        </w:rPr>
        <w:t>Tie staged compensation to verified results; use holdbacks for durability.</w:t>
      </w:r>
    </w:p>
    <w:p>
      <w:pPr>
        <w:keepLines/>
        <w:spacing w:after="140"/>
      </w:pPr>
      <w:r>
        <w:rPr>
          <w:rFonts w:ascii="Calibri" w:hAnsi="Calibri"/>
          <w:b/>
          <w:color w:val="54207A"/>
          <w:sz w:val="22"/>
        </w:rPr>
        <w:t xml:space="preserve">Failure. </w:t>
      </w:r>
      <w:r>
        <w:rPr>
          <w:rFonts w:ascii="Calibri" w:hAnsi="Calibri"/>
          <w:color w:val="202027"/>
          <w:sz w:val="22"/>
        </w:rPr>
        <w:t>Provide cure periods, clawbacks, fraud penalties, step-in rights, and orderly termination.</w:t>
      </w:r>
    </w:p>
    <w:p>
      <w:pPr>
        <w:keepLines/>
        <w:spacing w:after="140"/>
      </w:pPr>
      <w:r>
        <w:rPr>
          <w:rFonts w:ascii="Calibri" w:hAnsi="Calibri"/>
          <w:b/>
          <w:color w:val="54207A"/>
          <w:sz w:val="22"/>
        </w:rPr>
        <w:t xml:space="preserve">Citizen rights. </w:t>
      </w:r>
      <w:r>
        <w:rPr>
          <w:rFonts w:ascii="Calibri" w:hAnsi="Calibri"/>
          <w:color w:val="202027"/>
          <w:sz w:val="22"/>
        </w:rPr>
        <w:t>Guarantee notice, consent where appropriate, appeal, nondiscrimination, accessibility, and data minimization.</w:t>
      </w:r>
    </w:p>
    <w:p>
      <w:pPr>
        <w:keepLines/>
        <w:spacing w:after="140"/>
      </w:pPr>
      <w:r>
        <w:rPr>
          <w:rFonts w:ascii="Calibri" w:hAnsi="Calibri"/>
          <w:b/>
          <w:color w:val="54207A"/>
          <w:sz w:val="22"/>
        </w:rPr>
        <w:t xml:space="preserve">Transparency. </w:t>
      </w:r>
      <w:r>
        <w:rPr>
          <w:rFonts w:ascii="Calibri" w:hAnsi="Calibri"/>
          <w:color w:val="202027"/>
          <w:sz w:val="22"/>
        </w:rPr>
        <w:t>Publish the contract, beneficial ownership, conflicts, amendments, performance, complaints, and final decision.</w:t>
      </w:r>
    </w:p>
    <w:p>
      <w:pPr>
        <w:keepLines/>
        <w:spacing w:after="140"/>
      </w:pPr>
      <w:r>
        <w:rPr>
          <w:rFonts w:ascii="Calibri" w:hAnsi="Calibri"/>
          <w:b/>
          <w:color w:val="54207A"/>
          <w:sz w:val="22"/>
        </w:rPr>
        <w:t xml:space="preserve">Sunset. </w:t>
      </w:r>
      <w:r>
        <w:rPr>
          <w:rFonts w:ascii="Calibri" w:hAnsi="Calibri"/>
          <w:color w:val="202027"/>
          <w:sz w:val="22"/>
        </w:rPr>
        <w:t>Expire automatically unless an authorized body renews based on independent evidence.</w:t>
      </w:r>
    </w:p>
    <w:p>
      <w:r>
        <w:br w:type="page"/>
      </w:r>
    </w:p>
    <w:p>
      <w:pPr>
        <w:pStyle w:val="Heading1"/>
      </w:pPr>
      <w:r>
        <w:t>Appendix B: The Purple Test</w:t>
      </w:r>
    </w:p>
    <w:p>
      <w:pPr>
        <w:keepNext w:val="0"/>
        <w:widowControl/>
        <w:spacing w:before="0" w:after="160" w:line="320" w:lineRule="auto"/>
        <w:ind w:firstLine="360"/>
      </w:pPr>
      <w:r>
        <w:rPr>
          <w:rFonts w:ascii="Calibri" w:hAnsi="Calibri"/>
          <w:color w:val="202027"/>
          <w:sz w:val="22"/>
        </w:rPr>
        <w:t>Before supporting any public proposal - left, right, or Purple - ask these questions:</w:t>
      </w:r>
    </w:p>
    <w:p>
      <w:pPr>
        <w:widowControl/>
        <w:numPr>
          <w:ilvl w:val="0"/>
          <w:numId w:val="11"/>
        </w:numPr>
        <w:spacing w:before="40" w:after="100" w:line="290" w:lineRule="auto"/>
        <w:ind w:left="540" w:hanging="279"/>
      </w:pPr>
      <w:r>
        <w:rPr>
          <w:rFonts w:ascii="Calibri" w:hAnsi="Calibri"/>
          <w:color w:val="202027"/>
          <w:sz w:val="22"/>
        </w:rPr>
        <w:t>What exact human burden will fall, or what durable capability will rise?</w:t>
      </w:r>
    </w:p>
    <w:p>
      <w:pPr>
        <w:widowControl/>
        <w:numPr>
          <w:ilvl w:val="0"/>
          <w:numId w:val="11"/>
        </w:numPr>
        <w:spacing w:before="40" w:after="100" w:line="290" w:lineRule="auto"/>
        <w:ind w:left="540" w:hanging="279"/>
      </w:pPr>
      <w:r>
        <w:rPr>
          <w:rFonts w:ascii="Calibri" w:hAnsi="Calibri"/>
          <w:color w:val="202027"/>
          <w:sz w:val="22"/>
        </w:rPr>
        <w:t>What is the baseline, and who independently measures the result?</w:t>
      </w:r>
    </w:p>
    <w:p>
      <w:pPr>
        <w:widowControl/>
        <w:numPr>
          <w:ilvl w:val="0"/>
          <w:numId w:val="11"/>
        </w:numPr>
        <w:spacing w:before="40" w:after="100" w:line="290" w:lineRule="auto"/>
        <w:ind w:left="540" w:hanging="279"/>
      </w:pPr>
      <w:r>
        <w:rPr>
          <w:rFonts w:ascii="Calibri" w:hAnsi="Calibri"/>
          <w:color w:val="202027"/>
          <w:sz w:val="22"/>
        </w:rPr>
        <w:t>What does the citizen own or retain when the intervention ends?</w:t>
      </w:r>
    </w:p>
    <w:p>
      <w:pPr>
        <w:widowControl/>
        <w:numPr>
          <w:ilvl w:val="0"/>
          <w:numId w:val="11"/>
        </w:numPr>
        <w:spacing w:before="40" w:after="100" w:line="290" w:lineRule="auto"/>
        <w:ind w:left="540" w:hanging="279"/>
      </w:pPr>
      <w:r>
        <w:rPr>
          <w:rFonts w:ascii="Calibri" w:hAnsi="Calibri"/>
          <w:color w:val="202027"/>
          <w:sz w:val="22"/>
        </w:rPr>
        <w:t>Does the proposal lower a recurring unit cost or only shift the payer?</w:t>
      </w:r>
    </w:p>
    <w:p>
      <w:pPr>
        <w:widowControl/>
        <w:numPr>
          <w:ilvl w:val="0"/>
          <w:numId w:val="11"/>
        </w:numPr>
        <w:spacing w:before="40" w:after="100" w:line="290" w:lineRule="auto"/>
        <w:ind w:left="540" w:hanging="279"/>
      </w:pPr>
      <w:r>
        <w:rPr>
          <w:rFonts w:ascii="Calibri" w:hAnsi="Calibri"/>
          <w:color w:val="202027"/>
          <w:sz w:val="22"/>
        </w:rPr>
        <w:t>Can a person choose another provider, appeal a decision, and protect private data?</w:t>
      </w:r>
    </w:p>
    <w:p>
      <w:pPr>
        <w:widowControl/>
        <w:numPr>
          <w:ilvl w:val="0"/>
          <w:numId w:val="11"/>
        </w:numPr>
        <w:spacing w:before="40" w:after="100" w:line="290" w:lineRule="auto"/>
        <w:ind w:left="540" w:hanging="279"/>
      </w:pPr>
      <w:r>
        <w:rPr>
          <w:rFonts w:ascii="Calibri" w:hAnsi="Calibri"/>
          <w:color w:val="202027"/>
          <w:sz w:val="22"/>
        </w:rPr>
        <w:t>Does the design preserve competition and prevent public or private monopoly?</w:t>
      </w:r>
    </w:p>
    <w:p>
      <w:pPr>
        <w:widowControl/>
        <w:numPr>
          <w:ilvl w:val="0"/>
          <w:numId w:val="11"/>
        </w:numPr>
        <w:spacing w:before="40" w:after="100" w:line="290" w:lineRule="auto"/>
        <w:ind w:left="540" w:hanging="279"/>
      </w:pPr>
      <w:r>
        <w:rPr>
          <w:rFonts w:ascii="Calibri" w:hAnsi="Calibri"/>
          <w:color w:val="202027"/>
          <w:sz w:val="22"/>
        </w:rPr>
        <w:t>What is the full public cost, including tax expenditures, guarantees, and administration?</w:t>
      </w:r>
    </w:p>
    <w:p>
      <w:pPr>
        <w:widowControl/>
        <w:numPr>
          <w:ilvl w:val="0"/>
          <w:numId w:val="11"/>
        </w:numPr>
        <w:spacing w:before="40" w:after="100" w:line="290" w:lineRule="auto"/>
        <w:ind w:left="540" w:hanging="279"/>
      </w:pPr>
      <w:r>
        <w:rPr>
          <w:rFonts w:ascii="Calibri" w:hAnsi="Calibri"/>
          <w:color w:val="202027"/>
          <w:sz w:val="22"/>
        </w:rPr>
        <w:t>Who profits, why, and what verified public value earns that profit?</w:t>
      </w:r>
    </w:p>
    <w:p>
      <w:pPr>
        <w:widowControl/>
        <w:numPr>
          <w:ilvl w:val="0"/>
          <w:numId w:val="11"/>
        </w:numPr>
        <w:spacing w:before="40" w:after="100" w:line="290" w:lineRule="auto"/>
        <w:ind w:left="540" w:hanging="279"/>
      </w:pPr>
      <w:r>
        <w:rPr>
          <w:rFonts w:ascii="Calibri" w:hAnsi="Calibri"/>
          <w:color w:val="202027"/>
          <w:sz w:val="22"/>
        </w:rPr>
        <w:t>What happens to difficult cases, disabled people, and communities with weak markets?</w:t>
      </w:r>
    </w:p>
    <w:p>
      <w:pPr>
        <w:widowControl/>
        <w:numPr>
          <w:ilvl w:val="0"/>
          <w:numId w:val="11"/>
        </w:numPr>
        <w:spacing w:before="40" w:after="100" w:line="290" w:lineRule="auto"/>
        <w:ind w:left="540" w:hanging="279"/>
      </w:pPr>
      <w:r>
        <w:rPr>
          <w:rFonts w:ascii="Calibri" w:hAnsi="Calibri"/>
          <w:color w:val="202027"/>
          <w:sz w:val="22"/>
        </w:rPr>
        <w:t>What triggers correction, clawback, rebidding, or termination?</w:t>
      </w:r>
    </w:p>
    <w:p>
      <w:pPr>
        <w:widowControl/>
        <w:numPr>
          <w:ilvl w:val="0"/>
          <w:numId w:val="11"/>
        </w:numPr>
        <w:spacing w:before="40" w:after="100" w:line="290" w:lineRule="auto"/>
        <w:ind w:left="540" w:hanging="279"/>
      </w:pPr>
      <w:r>
        <w:rPr>
          <w:rFonts w:ascii="Calibri" w:hAnsi="Calibri"/>
          <w:color w:val="202027"/>
          <w:sz w:val="22"/>
        </w:rPr>
        <w:t>Can the policy be tested locally and reversed without harming the whole country?</w:t>
      </w:r>
    </w:p>
    <w:p>
      <w:pPr>
        <w:widowControl/>
        <w:numPr>
          <w:ilvl w:val="0"/>
          <w:numId w:val="11"/>
        </w:numPr>
        <w:spacing w:before="40" w:after="100" w:line="290" w:lineRule="auto"/>
        <w:ind w:left="540" w:hanging="279"/>
      </w:pPr>
      <w:r>
        <w:rPr>
          <w:rFonts w:ascii="Calibri" w:hAnsi="Calibri"/>
          <w:color w:val="202027"/>
          <w:sz w:val="22"/>
        </w:rPr>
        <w:t>What evidence would prove that the proposal failed?</w:t>
      </w:r>
    </w:p>
    <w:p>
      <w:r>
        <w:br w:type="page"/>
      </w:r>
    </w:p>
    <w:p>
      <w:pPr>
        <w:pStyle w:val="Heading1"/>
      </w:pPr>
      <w:r>
        <w:t>Sources and Further Reading</w:t>
      </w:r>
    </w:p>
    <w:p>
      <w:pPr>
        <w:keepNext w:val="0"/>
        <w:widowControl/>
        <w:spacing w:before="0" w:after="160" w:line="320" w:lineRule="auto"/>
      </w:pPr>
      <w:r>
        <w:rPr>
          <w:rFonts w:ascii="Calibri" w:hAnsi="Calibri"/>
          <w:color w:val="202027"/>
          <w:sz w:val="22"/>
        </w:rPr>
        <w:t>Sources were accessed August 20, 2026. DSA descriptions rely primarily on DSA's own materials. Economic and legal cautions rely on public agencies and primary research. The Purple Way analysis and recommendations are original to this book.</w:t>
      </w:r>
    </w:p>
    <w:p>
      <w:pPr>
        <w:spacing w:after="160" w:line="264" w:lineRule="auto"/>
        <w:ind w:left="360" w:hanging="360"/>
      </w:pPr>
      <w:r>
        <w:rPr>
          <w:rFonts w:ascii="Calibri" w:hAnsi="Calibri"/>
          <w:color w:val="202027"/>
          <w:sz w:val="19"/>
        </w:rPr>
        <w:t xml:space="preserve">[1] Democratic Socialists of America, Workers Deserve More! Program for 2025-2026. </w:t>
      </w:r>
      <w:hyperlink r:id="rId11">
        <w:r>
          <w:rPr>
            <w:color w:val="54207A"/>
            <w:u w:val="single"/>
            <w:rFonts w:ascii="Calibri" w:hAnsi="Calibri"/>
          </w:rPr>
          <w:t>https://program.dsausa.org/</w:t>
        </w:r>
      </w:hyperlink>
    </w:p>
    <w:p>
      <w:pPr>
        <w:spacing w:after="160" w:line="264" w:lineRule="auto"/>
        <w:ind w:left="360" w:hanging="360"/>
      </w:pPr>
      <w:r>
        <w:rPr>
          <w:rFonts w:ascii="Calibri" w:hAnsi="Calibri"/>
          <w:color w:val="202027"/>
          <w:sz w:val="19"/>
        </w:rPr>
        <w:t xml:space="preserve">[2] Democratic Socialists of America, What Is Democratic Socialism? </w:t>
      </w:r>
      <w:hyperlink r:id="rId12">
        <w:r>
          <w:rPr>
            <w:color w:val="54207A"/>
            <w:u w:val="single"/>
            <w:rFonts w:ascii="Calibri" w:hAnsi="Calibri"/>
          </w:rPr>
          <w:t>https://www.dsausa.org/about-us/what-is-democratic-socialism/</w:t>
        </w:r>
      </w:hyperlink>
    </w:p>
    <w:p>
      <w:pPr>
        <w:spacing w:after="160" w:line="264" w:lineRule="auto"/>
        <w:ind w:left="360" w:hanging="360"/>
      </w:pPr>
      <w:r>
        <w:rPr>
          <w:rFonts w:ascii="Calibri" w:hAnsi="Calibri"/>
          <w:color w:val="202027"/>
          <w:sz w:val="19"/>
        </w:rPr>
        <w:t xml:space="preserve">[3] Democratic Socialists of America, Who We Are and What We Do. </w:t>
      </w:r>
      <w:hyperlink r:id="rId13">
        <w:r>
          <w:rPr>
            <w:color w:val="54207A"/>
            <w:u w:val="single"/>
            <w:rFonts w:ascii="Calibri" w:hAnsi="Calibri"/>
          </w:rPr>
          <w:t>https://www.dsausa.org/</w:t>
        </w:r>
      </w:hyperlink>
    </w:p>
    <w:p>
      <w:pPr>
        <w:spacing w:after="160" w:line="264" w:lineRule="auto"/>
        <w:ind w:left="360" w:hanging="360"/>
      </w:pPr>
      <w:r>
        <w:rPr>
          <w:rFonts w:ascii="Calibri" w:hAnsi="Calibri"/>
          <w:color w:val="202027"/>
          <w:sz w:val="19"/>
        </w:rPr>
        <w:t xml:space="preserve">[4] Board of Governors of the Federal Reserve System, The Fed Explained: Monetary Policy. </w:t>
      </w:r>
      <w:hyperlink r:id="rId14">
        <w:r>
          <w:rPr>
            <w:color w:val="54207A"/>
            <w:u w:val="single"/>
            <w:rFonts w:ascii="Calibri" w:hAnsi="Calibri"/>
          </w:rPr>
          <w:t>https://www.federalreserve.gov/aboutthefed/fedexplained/monetary-policy.htm</w:t>
        </w:r>
      </w:hyperlink>
    </w:p>
    <w:p>
      <w:pPr>
        <w:spacing w:after="160" w:line="264" w:lineRule="auto"/>
        <w:ind w:left="360" w:hanging="360"/>
      </w:pPr>
      <w:r>
        <w:rPr>
          <w:rFonts w:ascii="Calibri" w:hAnsi="Calibri"/>
          <w:color w:val="202027"/>
          <w:sz w:val="19"/>
        </w:rPr>
        <w:t xml:space="preserve">[5] Board of Governors of the Federal Reserve System, How Does the Federal Reserve Affect Inflation and Employment? </w:t>
      </w:r>
      <w:hyperlink r:id="rId15">
        <w:r>
          <w:rPr>
            <w:color w:val="54207A"/>
            <w:u w:val="single"/>
            <w:rFonts w:ascii="Calibri" w:hAnsi="Calibri"/>
          </w:rPr>
          <w:t>https://www.federalreserve.gov/faqs/money_12856.htm</w:t>
        </w:r>
      </w:hyperlink>
    </w:p>
    <w:p>
      <w:pPr>
        <w:spacing w:after="160" w:line="264" w:lineRule="auto"/>
        <w:ind w:left="360" w:hanging="360"/>
      </w:pPr>
      <w:r>
        <w:rPr>
          <w:rFonts w:ascii="Calibri" w:hAnsi="Calibri"/>
          <w:color w:val="202027"/>
          <w:sz w:val="19"/>
        </w:rPr>
        <w:t xml:space="preserve">[6] U.S. Bureau of Labor Statistics, Productivity Overview and Why Productivity Is Important. </w:t>
      </w:r>
      <w:hyperlink r:id="rId16">
        <w:r>
          <w:rPr>
            <w:color w:val="54207A"/>
            <w:u w:val="single"/>
            <w:rFonts w:ascii="Calibri" w:hAnsi="Calibri"/>
          </w:rPr>
          <w:t>https://www.bls.gov/productivity/overview.htm</w:t>
        </w:r>
      </w:hyperlink>
    </w:p>
    <w:p>
      <w:pPr>
        <w:spacing w:after="160" w:line="264" w:lineRule="auto"/>
        <w:ind w:left="360" w:hanging="360"/>
      </w:pPr>
      <w:r>
        <w:rPr>
          <w:rFonts w:ascii="Calibri" w:hAnsi="Calibri"/>
          <w:color w:val="202027"/>
          <w:sz w:val="19"/>
        </w:rPr>
        <w:t xml:space="preserve">[7] U.S. Government Accountability Office, Guidance Needed for Using Performance-Based Service Contracting, GAO-02-1049. </w:t>
      </w:r>
      <w:hyperlink r:id="rId17">
        <w:r>
          <w:rPr>
            <w:color w:val="54207A"/>
            <w:u w:val="single"/>
            <w:rFonts w:ascii="Calibri" w:hAnsi="Calibri"/>
          </w:rPr>
          <w:t>https://www.gao.gov/products/gao-02-1049</w:t>
        </w:r>
      </w:hyperlink>
    </w:p>
    <w:p>
      <w:pPr>
        <w:spacing w:after="160" w:line="264" w:lineRule="auto"/>
        <w:ind w:left="360" w:hanging="360"/>
      </w:pPr>
      <w:r>
        <w:rPr>
          <w:rFonts w:ascii="Calibri" w:hAnsi="Calibri"/>
          <w:color w:val="202027"/>
          <w:sz w:val="19"/>
        </w:rPr>
        <w:t xml:space="preserve">[8] Federal Trade Commission, Anticompetitive Practices. </w:t>
      </w:r>
      <w:hyperlink r:id="rId18">
        <w:r>
          <w:rPr>
            <w:color w:val="54207A"/>
            <w:u w:val="single"/>
            <w:rFonts w:ascii="Calibri" w:hAnsi="Calibri"/>
          </w:rPr>
          <w:t>https://www.ftc.gov/enforcement/anticompetitive-practices</w:t>
        </w:r>
      </w:hyperlink>
    </w:p>
    <w:p>
      <w:pPr>
        <w:spacing w:after="160" w:line="264" w:lineRule="auto"/>
        <w:ind w:left="360" w:hanging="360"/>
      </w:pPr>
      <w:r>
        <w:rPr>
          <w:rFonts w:ascii="Calibri" w:hAnsi="Calibri"/>
          <w:color w:val="202027"/>
          <w:sz w:val="19"/>
        </w:rPr>
        <w:t xml:space="preserve">[9] Internal Revenue Service, Miscellaneous Income: Bartering at Fair Market Value. </w:t>
      </w:r>
      <w:hyperlink r:id="rId19">
        <w:r>
          <w:rPr>
            <w:color w:val="54207A"/>
            <w:u w:val="single"/>
            <w:rFonts w:ascii="Calibri" w:hAnsi="Calibri"/>
          </w:rPr>
          <w:t>https://www.irs.gov/newsroom/miscellaneous-income-asl-youtube-video-text-script</w:t>
        </w:r>
      </w:hyperlink>
    </w:p>
    <w:p>
      <w:pPr>
        <w:spacing w:after="160" w:line="264" w:lineRule="auto"/>
        <w:ind w:left="360" w:hanging="360"/>
      </w:pPr>
      <w:r>
        <w:rPr>
          <w:rFonts w:ascii="Calibri" w:hAnsi="Calibri"/>
          <w:color w:val="202027"/>
          <w:sz w:val="19"/>
        </w:rPr>
        <w:t xml:space="preserve">[10] Rebecca Diamond, Tim McQuade, and Franklin Qian, The Effects of Rent Control Expansion on Tenants, Landlords, and Inequality, American Economic Review 109, no. 9 (2019). </w:t>
      </w:r>
      <w:hyperlink r:id="rId20">
        <w:r>
          <w:rPr>
            <w:color w:val="54207A"/>
            <w:u w:val="single"/>
            <w:rFonts w:ascii="Calibri" w:hAnsi="Calibri"/>
          </w:rPr>
          <w:t>https://www.aeaweb.org/articles?id=10.1257%2Faer.20181289</w:t>
        </w:r>
      </w:hyperlink>
    </w:p>
    <w:p>
      <w:r>
        <w:br w:type="page"/>
      </w:r>
    </w:p>
    <w:p>
      <w:pPr>
        <w:spacing w:after="240"/>
        <w:jc w:val="center"/>
      </w:pPr>
      <w:r>
        <w:rPr>
          <w:rFonts w:ascii="Calibri" w:hAnsi="Calibri"/>
          <w:b/>
          <w:smallCaps/>
          <w:color w:val="C6A24A"/>
          <w:sz w:val="20"/>
        </w:rPr>
        <w:t>ABOUT THE AUTHOR</w:t>
      </w:r>
    </w:p>
    <w:p>
      <w:pPr>
        <w:pStyle w:val="Heading1"/>
        <w:jc w:val="center"/>
      </w:pPr>
      <w:r>
        <w:t>Rustin Penland</w:t>
      </w:r>
    </w:p>
    <w:p>
      <w:pPr>
        <w:keepNext w:val="0"/>
        <w:widowControl/>
        <w:spacing w:before="0" w:after="160" w:line="320" w:lineRule="auto"/>
        <w:jc w:val="center"/>
      </w:pPr>
      <w:r>
        <w:rPr>
          <w:rFonts w:ascii="Calibri" w:hAnsi="Calibri"/>
          <w:color w:val="202027"/>
          <w:sz w:val="22"/>
        </w:rPr>
        <w:t>Rustin Penland is the creator of the Purple Way and Human Capital Conservatism. His work challenges the red-and-blue establishment to see knowledge, health, productive capacity, savings, ownership, and civic trust as forms of national capital. The Purple Way proposes a secure social floor, a staircase toward greater independence, and transparent public-benefit contracts that reward measurable reductions in the cost of living and durable gains in human capability.</w:t>
      </w:r>
    </w:p>
    <w:p>
      <w:pPr>
        <w:spacing w:before="120" w:after="240" w:line="288" w:lineRule="auto"/>
        <w:ind w:left="346" w:right="173"/>
        <w:shd w:fill="F4EFF8"/>
        <w:pBdr>
          <w:left w:val="single" w:sz="18" w:space="8" w:color="C6A24A"/>
        </w:pBdr>
      </w:pPr>
      <w:r>
        <w:rPr>
          <w:rFonts w:ascii="Calibri" w:hAnsi="Calibri"/>
          <w:b/>
          <w:color w:val="321447"/>
          <w:sz w:val="22"/>
        </w:rPr>
        <w:t xml:space="preserve">Founding idea: </w:t>
      </w:r>
      <w:r>
        <w:rPr>
          <w:rFonts w:ascii="Calibri" w:hAnsi="Calibri"/>
          <w:color w:val="202027"/>
          <w:sz w:val="22"/>
        </w:rPr>
        <w:t>A nation is a bank with feet. Its greatest reserve walks in its people.</w:t>
      </w:r>
    </w:p>
    <w:p>
      <w:r>
        <w:br w:type="page"/>
      </w:r>
    </w:p>
    <w:p/>
    <w:p/>
    <w:p/>
    <w:p/>
    <w:p/>
    <w:p>
      <w:pPr>
        <w:spacing w:after="240"/>
        <w:jc w:val="center"/>
      </w:pPr>
      <w:r>
        <w:rPr>
          <w:rFonts w:ascii="Calibri" w:hAnsi="Calibri"/>
          <w:b/>
          <w:smallCaps/>
          <w:color w:val="C6A24A"/>
          <w:sz w:val="20"/>
        </w:rPr>
        <w:t>THE PURPLE WAY</w:t>
      </w:r>
    </w:p>
    <w:p>
      <w:pPr>
        <w:spacing w:after="360"/>
        <w:jc w:val="center"/>
      </w:pPr>
      <w:r>
        <w:rPr>
          <w:rFonts w:ascii="Calibri" w:hAnsi="Calibri"/>
          <w:b/>
          <w:color w:val="321447"/>
          <w:sz w:val="44"/>
        </w:rPr>
        <w:t>PROTECT. BUILD. MEASURE. RELEASE.</w:t>
      </w:r>
    </w:p>
    <w:p>
      <w:pPr>
        <w:spacing w:line="300" w:lineRule="auto"/>
        <w:ind w:left="936" w:right="936"/>
        <w:jc w:val="center"/>
      </w:pPr>
      <w:r>
        <w:rPr>
          <w:rFonts w:ascii="Calibri" w:hAnsi="Calibri"/>
          <w:i/>
          <w:color w:val="66616B"/>
          <w:sz w:val="26"/>
        </w:rPr>
        <w:t>Protect people from catastrophe. Build the capital carried in people. Measure whether costs fall and capability rises. Release citizens from unnecessary dependence on any institution.</w:t>
      </w:r>
    </w:p>
    <w:p>
      <w:pPr>
        <w:spacing w:before="1040"/>
        <w:jc w:val="center"/>
      </w:pPr>
      <w:r>
        <w:rPr>
          <w:rFonts w:ascii="Calibri" w:hAnsi="Calibri"/>
          <w:b/>
          <w:color w:val="C6A24A"/>
          <w:sz w:val="28"/>
        </w:rPr>
        <w:t>THE BETTER CHOICE IS PURPLE.</w:t>
      </w:r>
    </w:p>
    <w:sectPr w:rsidR="00FC693F" w:rsidRPr="0006063C" w:rsidSect="00034616">
      <w:headerReference w:type="default" r:id="rId9"/>
      <w:footerReference w:type="default" r:id="rId10"/>
      <w:pgSz w:w="12240" w:h="15840"/>
      <w:pgMar w:top="1440" w:right="1440" w:bottom="1440" w:left="1440" w:header="706" w:footer="7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66616B"/>
        <w:sz w:val="17"/>
      </w:rPr>
      <w:t xml:space="preserve">RUSTIN PENLAND   -   </w:t>
    </w:r>
    <w:r>
      <w:rPr>
        <w:rFonts w:ascii="Calibri" w:hAnsi="Calibri"/>
        <w:color w:val="66616B"/>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b/>
        <w:smallCaps/>
        <w:color w:val="66616B"/>
        <w:sz w:val="17"/>
      </w:rPr>
      <w:t>THE PURPLE WAY  |  THE BETTER ALTERNATIVE TO DSA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lvlJc w:val="left"/>
      <w:pPr>
        <w:tabs>
          <w:tab w:val="num" w:pos="540"/>
        </w:tabs>
        <w:ind w:left="540" w:hanging="279"/>
      </w:pPr>
    </w:lvl>
  </w:abstractNum>
  <w:num w:numId="10">
    <w:abstractNumId w:val="9"/>
  </w:num>
  <w:abstractNum w:abstractNumId="10">
    <w:multiLevelType w:val="singleLevel"/>
    <w:lvl w:ilvl="0">
      <w:start w:val="1"/>
      <w:numFmt w:val="decimal"/>
      <w:lvlText w:val="%1."/>
      <w:suff w:val="space"/>
      <w:lvlJc w:val="left"/>
      <w:pPr>
        <w:tabs>
          <w:tab w:val="num" w:pos="540"/>
        </w:tabs>
        <w:ind w:left="540" w:hanging="279"/>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2020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outlineLvl w:val="0"/>
    </w:pPr>
    <w:rPr>
      <w:rFonts w:asciiTheme="majorHAnsi" w:eastAsiaTheme="majorEastAsia" w:hAnsiTheme="majorHAnsi" w:cstheme="majorBidi" w:ascii="Calibri" w:hAnsi="Calibri"/>
      <w:b/>
      <w:bCs/>
      <w:color w:val="54207A"/>
      <w:sz w:val="36"/>
      <w:szCs w:val="28"/>
    </w:rPr>
  </w:style>
  <w:style w:type="paragraph" w:styleId="Heading2">
    <w:name w:val="heading 2"/>
    <w:basedOn w:val="Normal"/>
    <w:next w:val="Normal"/>
    <w:link w:val="Heading2Char"/>
    <w:uiPriority w:val="9"/>
    <w:unhideWhenUsed/>
    <w:qFormat/>
    <w:rsid w:val="00FC693F"/>
    <w:pPr>
      <w:keepNext/>
      <w:keepLines/>
      <w:widowControl/>
      <w:spacing w:before="240" w:after="120"/>
      <w:outlineLvl w:val="1"/>
    </w:pPr>
    <w:rPr>
      <w:rFonts w:asciiTheme="majorHAnsi" w:eastAsiaTheme="majorEastAsia" w:hAnsiTheme="majorHAnsi" w:cstheme="majorBidi" w:ascii="Calibri" w:hAnsi="Calibri"/>
      <w:b/>
      <w:bCs/>
      <w:color w:val="6F3A98"/>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32144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rogram.dsausa.org/" TargetMode="External"/><Relationship Id="rId12" Type="http://schemas.openxmlformats.org/officeDocument/2006/relationships/hyperlink" Target="https://www.dsausa.org/about-us/what-is-democratic-socialism/" TargetMode="External"/><Relationship Id="rId13" Type="http://schemas.openxmlformats.org/officeDocument/2006/relationships/hyperlink" Target="https://www.dsausa.org/" TargetMode="External"/><Relationship Id="rId14" Type="http://schemas.openxmlformats.org/officeDocument/2006/relationships/hyperlink" Target="https://www.federalreserve.gov/aboutthefed/fedexplained/monetary-policy.htm" TargetMode="External"/><Relationship Id="rId15" Type="http://schemas.openxmlformats.org/officeDocument/2006/relationships/hyperlink" Target="https://www.federalreserve.gov/faqs/money_12856.htm" TargetMode="External"/><Relationship Id="rId16" Type="http://schemas.openxmlformats.org/officeDocument/2006/relationships/hyperlink" Target="https://www.bls.gov/productivity/overview.htm" TargetMode="External"/><Relationship Id="rId17" Type="http://schemas.openxmlformats.org/officeDocument/2006/relationships/hyperlink" Target="https://www.gao.gov/products/gao-02-1049" TargetMode="External"/><Relationship Id="rId18" Type="http://schemas.openxmlformats.org/officeDocument/2006/relationships/hyperlink" Target="https://www.ftc.gov/enforcement/anticompetitive-practices" TargetMode="External"/><Relationship Id="rId19" Type="http://schemas.openxmlformats.org/officeDocument/2006/relationships/hyperlink" Target="https://www.irs.gov/newsroom/miscellaneous-income-asl-youtube-video-text-script" TargetMode="External"/><Relationship Id="rId20" Type="http://schemas.openxmlformats.org/officeDocument/2006/relationships/hyperlink" Target="https://www.aeaweb.org/articles?id=10.1257%2Faer.201812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Way: The Better Alternative to DSA</dc:title>
  <dc:subject>Why Human Capital Conservatism Offers America More Than Democratic Socialism</dc:subject>
  <dc:creator>Rustin Penland</dc:creator>
  <cp:keywords>Purple Way, Human Capital Conservatism, DSA, democratic socialism, public-benefit exchange, statesman contract</cp:keywords>
  <dc:description>Political advocacy and institutional design.</dc:description>
  <cp:lastModifiedBy/>
  <cp:revision>1</cp:revision>
  <dcterms:created xsi:type="dcterms:W3CDTF">2013-12-23T23:15:00Z</dcterms:created>
  <dcterms:modified xsi:type="dcterms:W3CDTF">2013-12-23T23:15:00Z</dcterms:modified>
  <cp:category/>
</cp:coreProperties>
</file>