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keepLines w:val="0"/>
        <w:spacing w:before="0" w:after="160" w:line="240" w:lineRule="auto"/>
      </w:pPr>
    </w:p>
    <w:p>
      <w:pPr>
        <w:keepNext w:val="0"/>
        <w:keepLines w:val="0"/>
        <w:spacing w:before="0" w:after="160" w:line="240" w:lineRule="auto"/>
      </w:pPr>
    </w:p>
    <w:p>
      <w:pPr>
        <w:keepNext w:val="0"/>
        <w:keepLines w:val="0"/>
        <w:spacing w:before="0" w:after="160" w:line="240" w:lineRule="auto"/>
      </w:pPr>
    </w:p>
    <w:p>
      <w:pPr>
        <w:keepNext w:val="0"/>
        <w:keepLines w:val="0"/>
        <w:spacing w:before="0" w:after="160" w:line="240" w:lineRule="auto"/>
      </w:pPr>
    </w:p>
    <w:p>
      <w:pPr>
        <w:keepNext/>
        <w:keepLines w:val="0"/>
        <w:spacing w:before="0" w:after="280" w:line="240" w:lineRule="auto"/>
        <w:jc w:val="center"/>
      </w:pPr>
      <w:r>
        <w:rPr>
          <w:rFonts w:ascii="Calibri" w:hAnsi="Calibri"/>
          <w:b/>
          <w:caps/>
          <w:color w:val="D8AE55"/>
          <w:sz w:val="20"/>
        </w:rPr>
        <w:t>A PURPLE WAY CIVIC GUIDE</w:t>
      </w:r>
    </w:p>
    <w:p>
      <w:pPr>
        <w:keepNext/>
        <w:keepLines w:val="0"/>
        <w:spacing w:before="0" w:after="200" w:line="228" w:lineRule="auto"/>
        <w:jc w:val="center"/>
      </w:pPr>
      <w:r>
        <w:rPr>
          <w:rFonts w:ascii="Georgia" w:hAnsi="Georgia"/>
          <w:b w:val="0"/>
          <w:color w:val="210D31"/>
          <w:sz w:val="68"/>
        </w:rPr>
        <w:t>THE PURPLE</w:t>
        <w:br/>
        <w:t>VOTER GUIDE</w:t>
      </w:r>
    </w:p>
    <w:p>
      <w:pPr>
        <w:spacing w:before="40" w:after="240"/>
        <w:pBdr>
          <w:bottom w:val="single" w:sz="8" w:space="1" w:color="D8AE55"/>
        </w:pBdr>
      </w:pPr>
    </w:p>
    <w:p>
      <w:pPr>
        <w:keepNext/>
        <w:keepLines w:val="0"/>
        <w:spacing w:before="0" w:after="640" w:line="288" w:lineRule="auto"/>
        <w:jc w:val="center"/>
      </w:pPr>
      <w:r>
        <w:rPr>
          <w:rFonts w:ascii="Georgia" w:hAnsi="Georgia"/>
          <w:i/>
          <w:color w:val="6C2D8D"/>
          <w:sz w:val="32"/>
        </w:rPr>
        <w:t>The Sovereign Citizen's Choice:</w:t>
        <w:br/>
        <w:t>Why a Purple Candidate Changes Your Financial Destiny</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shd w:fill="FBF5E5"/>
            <w:tcBorders>
              <w:top w:val="nil"/>
              <w:start w:val="single" w:sz="18" w:space="0" w:color="D8AE55"/>
              <w:bottom w:val="nil"/>
              <w:end w:val="nil"/>
            </w:tcBorders>
            <w:vAlign w:val="center"/>
          </w:tcPr>
          <w:p>
            <w:pPr>
              <w:keepNext/>
              <w:keepLines w:val="0"/>
              <w:spacing w:before="0" w:after="60" w:line="240" w:lineRule="auto"/>
            </w:pPr>
            <w:r>
              <w:rPr>
                <w:rFonts w:ascii="Calibri" w:hAnsi="Calibri"/>
                <w:b/>
                <w:caps/>
                <w:color w:val="D8AE55"/>
                <w:sz w:val="17"/>
              </w:rPr>
              <w:t>THE QUESTION BEHIND THE VOTE</w:t>
            </w:r>
          </w:p>
          <w:p>
            <w:pPr>
              <w:keepNext w:val="0"/>
              <w:keepLines w:val="0"/>
              <w:spacing w:before="0" w:after="0" w:line="288" w:lineRule="auto"/>
            </w:pPr>
            <w:r>
              <w:rPr>
                <w:rFonts w:ascii="Calibri" w:hAnsi="Calibri"/>
                <w:b/>
                <w:color w:val="17131D"/>
                <w:sz w:val="23"/>
              </w:rPr>
              <w:t>Will the next administration merely manage your dependence - or leave you with more knowledge, ownership, purchasing power, and control over your future?</w:t>
            </w:r>
          </w:p>
        </w:tc>
      </w:tr>
    </w:tbl>
    <w:p>
      <w:pPr>
        <w:keepNext w:val="0"/>
        <w:keepLines w:val="0"/>
        <w:spacing w:before="0" w:after="60" w:line="240" w:lineRule="auto"/>
      </w:pPr>
    </w:p>
    <w:p>
      <w:pPr>
        <w:keepNext w:val="0"/>
        <w:keepLines w:val="0"/>
        <w:spacing w:before="560" w:after="120" w:line="240" w:lineRule="auto"/>
        <w:jc w:val="center"/>
      </w:pPr>
      <w:r>
        <w:rPr>
          <w:rFonts w:ascii="Calibri" w:hAnsi="Calibri"/>
          <w:b/>
          <w:caps/>
          <w:color w:val="210D31"/>
          <w:sz w:val="24"/>
        </w:rPr>
        <w:t>RUSTIN PENLAND</w:t>
      </w:r>
    </w:p>
    <w:p>
      <w:pPr>
        <w:keepNext w:val="0"/>
        <w:keepLines w:val="0"/>
        <w:spacing w:before="0" w:after="0" w:line="240" w:lineRule="auto"/>
        <w:jc w:val="center"/>
      </w:pPr>
      <w:r>
        <w:rPr>
          <w:rFonts w:ascii="Calibri" w:hAnsi="Calibri"/>
          <w:color w:val="6F6878"/>
          <w:sz w:val="19"/>
        </w:rPr>
        <w:t>The Purple Way  |  August 2026</w:t>
      </w:r>
    </w:p>
    <w:p>
      <w:r>
        <w:br w:type="page"/>
      </w:r>
    </w:p>
    <w:p>
      <w:pPr>
        <w:keepNext/>
        <w:keepLines w:val="0"/>
        <w:spacing w:before="0" w:after="160" w:line="240" w:lineRule="auto"/>
      </w:pPr>
      <w:r>
        <w:rPr>
          <w:rFonts w:ascii="Calibri" w:hAnsi="Calibri"/>
          <w:b/>
          <w:caps/>
          <w:color w:val="D8AE55"/>
          <w:sz w:val="18"/>
        </w:rPr>
        <w:t>PUBLICATION NOTE</w:t>
      </w:r>
    </w:p>
    <w:p>
      <w:pPr>
        <w:keepNext/>
        <w:keepLines w:val="0"/>
        <w:spacing w:before="0" w:after="160" w:line="240" w:lineRule="auto"/>
      </w:pPr>
      <w:r>
        <w:rPr>
          <w:rFonts w:ascii="Georgia" w:hAnsi="Georgia"/>
          <w:color w:val="210D31"/>
          <w:sz w:val="48"/>
        </w:rPr>
        <w:t>A voter guide for evaluating a proposed system</w:t>
      </w:r>
    </w:p>
    <w:p>
      <w:pPr>
        <w:keepNext w:val="0"/>
        <w:keepLines w:val="0"/>
        <w:spacing w:before="0" w:after="160" w:line="320" w:lineRule="auto"/>
        <w:jc w:val="both"/>
      </w:pPr>
      <w:r>
        <w:rPr>
          <w:rFonts w:ascii="Calibri" w:hAnsi="Calibri"/>
          <w:i w:val="0"/>
          <w:color w:val="17131D"/>
          <w:sz w:val="22"/>
        </w:rPr>
        <w:t>This book presents Rustin Penland's political and economic philosophy, the Purple Way, as a proposed standard for judging candidates and government performance. It is advocacy for a new direction, not a description of current federal law and not a promise that any policy will automatically achieve the outcomes described.</w:t>
      </w:r>
    </w:p>
    <w:p>
      <w:pPr>
        <w:keepNext w:val="0"/>
        <w:keepLines w:val="0"/>
        <w:spacing w:before="0" w:after="160" w:line="320" w:lineRule="auto"/>
        <w:jc w:val="both"/>
      </w:pPr>
      <w:r>
        <w:rPr>
          <w:rFonts w:ascii="Calibri" w:hAnsi="Calibri"/>
          <w:b/>
          <w:color w:val="17131D"/>
          <w:sz w:val="22"/>
        </w:rPr>
        <w:t>Legal guardrail.</w:t>
      </w:r>
      <w:r>
        <w:rPr>
          <w:rFonts w:ascii="Calibri" w:hAnsi="Calibri"/>
          <w:i w:val="0"/>
          <w:color w:val="17131D"/>
          <w:sz w:val="22"/>
        </w:rPr>
        <w:t xml:space="preserve"> A candidate covenant cannot override the United States Constitution. A President may be removed only through constitutional and lawful mechanisms, including impeachment and conviction, resignation, the electoral process, expiration of the term, or the Twenty-Fifth Amendment procedures concerning inability. Any financial penalties, clawbacks, automated allocation rules, banking reforms, or new public-credit systems would require valid legislation, due process, judicial review where applicable, and constitutional compliance.</w:t>
      </w:r>
    </w:p>
    <w:p>
      <w:pPr>
        <w:keepNext w:val="0"/>
        <w:keepLines w:val="0"/>
        <w:spacing w:before="0" w:after="160" w:line="320" w:lineRule="auto"/>
        <w:jc w:val="both"/>
      </w:pPr>
      <w:r>
        <w:rPr>
          <w:rFonts w:ascii="Calibri" w:hAnsi="Calibri"/>
          <w:b/>
          <w:color w:val="17131D"/>
          <w:sz w:val="22"/>
        </w:rPr>
        <w:t>Economic guardrail.</w:t>
      </w:r>
      <w:r>
        <w:rPr>
          <w:rFonts w:ascii="Calibri" w:hAnsi="Calibri"/>
          <w:i w:val="0"/>
          <w:color w:val="17131D"/>
          <w:sz w:val="22"/>
        </w:rPr>
        <w:t xml:space="preserve"> Lower prices can reflect healthy productivity, but they can also accompany recession, scarcity, or financial stress. The Purple Way standard developed here therefore asks whether useful output, wages, access, household security, and financial stability improve together. Targets are proposed measurements, not guaranteed forecasts.</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shd w:fill="F1EAF5"/>
            <w:tcBorders>
              <w:top w:val="nil"/>
              <w:start w:val="single" w:sz="18" w:space="0" w:color="4E176F"/>
              <w:bottom w:val="nil"/>
              <w:end w:val="nil"/>
            </w:tcBorders>
            <w:vAlign w:val="center"/>
          </w:tcPr>
          <w:p>
            <w:pPr>
              <w:keepNext/>
              <w:keepLines w:val="0"/>
              <w:spacing w:before="0" w:after="60" w:line="240" w:lineRule="auto"/>
            </w:pPr>
            <w:r>
              <w:rPr>
                <w:rFonts w:ascii="Calibri" w:hAnsi="Calibri"/>
                <w:b/>
                <w:caps/>
                <w:color w:val="4E176F"/>
                <w:sz w:val="17"/>
              </w:rPr>
              <w:t>CONTROLLING PRINCIPLE</w:t>
            </w:r>
          </w:p>
          <w:p>
            <w:pPr>
              <w:keepNext w:val="0"/>
              <w:keepLines w:val="0"/>
              <w:spacing w:before="0" w:after="0" w:line="288" w:lineRule="auto"/>
            </w:pPr>
            <w:r>
              <w:rPr>
                <w:rFonts w:ascii="Calibri" w:hAnsi="Calibri"/>
                <w:b/>
                <w:color w:val="17131D"/>
                <w:sz w:val="23"/>
              </w:rPr>
              <w:t>Never withdraw protection before capability exists. Never call a number a success if the person is weaker underneath it.</w:t>
            </w:r>
          </w:p>
        </w:tc>
      </w:tr>
    </w:tbl>
    <w:p>
      <w:pPr>
        <w:keepNext w:val="0"/>
        <w:keepLines w:val="0"/>
        <w:spacing w:before="0" w:after="60" w:line="240" w:lineRule="auto"/>
      </w:pPr>
    </w:p>
    <w:p>
      <w:pPr>
        <w:pStyle w:val="Heading2"/>
      </w:pPr>
      <w:r>
        <w:t>How to use this guide</w:t>
      </w:r>
    </w:p>
    <w:p>
      <w:pPr>
        <w:keepNext w:val="0"/>
        <w:keepLines w:val="0"/>
        <w:numPr>
          <w:ilvl w:val="0"/>
          <w:numId w:val="90"/>
        </w:numPr>
        <w:spacing w:before="0" w:after="80" w:line="290" w:lineRule="auto"/>
        <w:ind w:left="540" w:hanging="279"/>
      </w:pPr>
      <w:r>
        <w:rPr>
          <w:rFonts w:ascii="Calibri" w:hAnsi="Calibri"/>
          <w:color w:val="17131D"/>
          <w:sz w:val="22"/>
        </w:rPr>
        <w:t>Read the philosophy as a proposed operating standard, then test each proposal against law, evidence, and human consequences.</w:t>
      </w:r>
    </w:p>
    <w:p>
      <w:pPr>
        <w:keepNext w:val="0"/>
        <w:keepLines w:val="0"/>
        <w:numPr>
          <w:ilvl w:val="0"/>
          <w:numId w:val="90"/>
        </w:numPr>
        <w:spacing w:before="0" w:after="80" w:line="290" w:lineRule="auto"/>
        <w:ind w:left="540" w:hanging="279"/>
      </w:pPr>
      <w:r>
        <w:rPr>
          <w:rFonts w:ascii="Calibri" w:hAnsi="Calibri"/>
          <w:color w:val="17131D"/>
          <w:sz w:val="22"/>
        </w:rPr>
        <w:t>Ask every candidate - including a Purple candidate - for measurable definitions, public baselines, independent audits, correction rules, and lawful exit mechanisms.</w:t>
      </w:r>
    </w:p>
    <w:p>
      <w:pPr>
        <w:keepNext w:val="0"/>
        <w:keepLines w:val="0"/>
        <w:numPr>
          <w:ilvl w:val="0"/>
          <w:numId w:val="90"/>
        </w:numPr>
        <w:spacing w:before="0" w:after="80" w:line="290" w:lineRule="auto"/>
        <w:ind w:left="540" w:hanging="279"/>
      </w:pPr>
      <w:r>
        <w:rPr>
          <w:rFonts w:ascii="Calibri" w:hAnsi="Calibri"/>
          <w:color w:val="17131D"/>
          <w:sz w:val="22"/>
        </w:rPr>
        <w:t>Separate the goal from the method. A worthy goal does not excuse an unconstitutional, coercive, financially unstable, or poorly measured method.</w:t>
      </w:r>
    </w:p>
    <w:p>
      <w:pPr>
        <w:keepNext w:val="0"/>
        <w:keepLines w:val="0"/>
        <w:numPr>
          <w:ilvl w:val="0"/>
          <w:numId w:val="90"/>
        </w:numPr>
        <w:spacing w:before="0" w:after="80" w:line="290" w:lineRule="auto"/>
        <w:ind w:left="540" w:hanging="279"/>
      </w:pPr>
      <w:r>
        <w:rPr>
          <w:rFonts w:ascii="Calibri" w:hAnsi="Calibri"/>
          <w:color w:val="17131D"/>
          <w:sz w:val="22"/>
        </w:rPr>
        <w:t>Judge success by what remains inside the citizen: knowledge, health, skill, judgment, ownership, purchasing power, and genuine freedom of action.</w:t>
      </w:r>
    </w:p>
    <w:p>
      <w:r>
        <w:br w:type="page"/>
      </w:r>
    </w:p>
    <w:p>
      <w:pPr>
        <w:keepNext/>
        <w:keepLines w:val="0"/>
        <w:spacing w:before="0" w:after="160" w:line="240" w:lineRule="auto"/>
      </w:pPr>
      <w:r>
        <w:rPr>
          <w:rFonts w:ascii="Calibri" w:hAnsi="Calibri"/>
          <w:b/>
          <w:caps/>
          <w:color w:val="D8AE55"/>
          <w:sz w:val="18"/>
        </w:rPr>
        <w:t>CONTENTS</w:t>
      </w:r>
    </w:p>
    <w:p>
      <w:pPr>
        <w:keepNext/>
        <w:keepLines w:val="0"/>
        <w:spacing w:before="0" w:after="400" w:line="240" w:lineRule="auto"/>
      </w:pPr>
      <w:r>
        <w:rPr>
          <w:rFonts w:ascii="Georgia" w:hAnsi="Georgia"/>
          <w:color w:val="210D31"/>
          <w:sz w:val="50"/>
        </w:rPr>
        <w:t>The choice, the contract, and the test</w:t>
      </w:r>
    </w:p>
    <w:p>
      <w:pPr>
        <w:keepNext/>
        <w:keepLines w:val="0"/>
        <w:spacing w:before="0" w:after="40" w:line="264" w:lineRule="auto"/>
      </w:pPr>
      <w:r>
        <w:rPr>
          <w:rFonts w:ascii="Calibri" w:hAnsi="Calibri"/>
          <w:b/>
          <w:color w:val="210D31"/>
          <w:sz w:val="23"/>
        </w:rPr>
        <w:t>00  Foreword: The Hidden Trap of the Ballot Box</w:t>
      </w:r>
    </w:p>
    <w:p>
      <w:pPr>
        <w:keepNext w:val="0"/>
        <w:keepLines w:val="0"/>
        <w:spacing w:before="0" w:after="160" w:line="264" w:lineRule="auto"/>
        <w:ind w:left="547"/>
      </w:pPr>
      <w:r>
        <w:rPr>
          <w:rFonts w:ascii="Calibri" w:hAnsi="Calibri"/>
          <w:color w:val="6F6878"/>
          <w:sz w:val="19"/>
        </w:rPr>
        <w:t>Why the familiar Red-Blue choice does not measure the power left inside the citizen.</w:t>
      </w:r>
    </w:p>
    <w:p>
      <w:pPr>
        <w:keepNext/>
        <w:keepLines w:val="0"/>
        <w:spacing w:before="0" w:after="40" w:line="264" w:lineRule="auto"/>
      </w:pPr>
      <w:r>
        <w:rPr>
          <w:rFonts w:ascii="Calibri" w:hAnsi="Calibri"/>
          <w:b/>
          <w:color w:val="210D31"/>
          <w:sz w:val="23"/>
        </w:rPr>
        <w:t>01  Promises vs. Contracts</w:t>
      </w:r>
    </w:p>
    <w:p>
      <w:pPr>
        <w:keepNext w:val="0"/>
        <w:keepLines w:val="0"/>
        <w:spacing w:before="0" w:after="160" w:line="264" w:lineRule="auto"/>
        <w:ind w:left="547"/>
      </w:pPr>
      <w:r>
        <w:rPr>
          <w:rFonts w:ascii="Calibri" w:hAnsi="Calibri"/>
          <w:color w:val="6F6878"/>
          <w:sz w:val="19"/>
        </w:rPr>
        <w:t>The Statesman Covenant, lawful accountability, and the citizen as principal.</w:t>
      </w:r>
    </w:p>
    <w:p>
      <w:pPr>
        <w:keepNext/>
        <w:keepLines w:val="0"/>
        <w:spacing w:before="0" w:after="40" w:line="264" w:lineRule="auto"/>
      </w:pPr>
      <w:r>
        <w:rPr>
          <w:rFonts w:ascii="Calibri" w:hAnsi="Calibri"/>
          <w:b/>
          <w:color w:val="210D31"/>
          <w:sz w:val="23"/>
        </w:rPr>
        <w:t>02  The Pocketbook Advantage</w:t>
      </w:r>
    </w:p>
    <w:p>
      <w:pPr>
        <w:keepNext w:val="0"/>
        <w:keepLines w:val="0"/>
        <w:spacing w:before="0" w:after="160" w:line="264" w:lineRule="auto"/>
        <w:ind w:left="547"/>
      </w:pPr>
      <w:r>
        <w:rPr>
          <w:rFonts w:ascii="Calibri" w:hAnsi="Calibri"/>
          <w:color w:val="6F6878"/>
          <w:sz w:val="19"/>
        </w:rPr>
        <w:t>A household-centered scoreboard for productivity, prices, and monthly surplus.</w:t>
      </w:r>
    </w:p>
    <w:p>
      <w:pPr>
        <w:keepNext/>
        <w:keepLines w:val="0"/>
        <w:spacing w:before="0" w:after="40" w:line="264" w:lineRule="auto"/>
      </w:pPr>
      <w:r>
        <w:rPr>
          <w:rFonts w:ascii="Calibri" w:hAnsi="Calibri"/>
          <w:b/>
          <w:color w:val="210D31"/>
          <w:sz w:val="23"/>
        </w:rPr>
        <w:t>03  Productive Credit vs. the Debt Trap</w:t>
      </w:r>
    </w:p>
    <w:p>
      <w:pPr>
        <w:keepNext w:val="0"/>
        <w:keepLines w:val="0"/>
        <w:spacing w:before="0" w:after="160" w:line="264" w:lineRule="auto"/>
        <w:ind w:left="547"/>
      </w:pPr>
      <w:r>
        <w:rPr>
          <w:rFonts w:ascii="Calibri" w:hAnsi="Calibri"/>
          <w:color w:val="6F6878"/>
          <w:sz w:val="19"/>
        </w:rPr>
        <w:t>How credit can build skill, tools, production, and ownership instead of recurring dependence.</w:t>
      </w:r>
    </w:p>
    <w:p>
      <w:pPr>
        <w:keepNext/>
        <w:keepLines w:val="0"/>
        <w:spacing w:before="0" w:after="40" w:line="264" w:lineRule="auto"/>
      </w:pPr>
      <w:r>
        <w:rPr>
          <w:rFonts w:ascii="Calibri" w:hAnsi="Calibri"/>
          <w:b/>
          <w:color w:val="210D31"/>
          <w:sz w:val="23"/>
        </w:rPr>
        <w:t>04  Breaking the Dependency Engine</w:t>
      </w:r>
    </w:p>
    <w:p>
      <w:pPr>
        <w:keepNext w:val="0"/>
        <w:keepLines w:val="0"/>
        <w:spacing w:before="0" w:after="160" w:line="264" w:lineRule="auto"/>
        <w:ind w:left="547"/>
      </w:pPr>
      <w:r>
        <w:rPr>
          <w:rFonts w:ascii="Calibri" w:hAnsi="Calibri"/>
          <w:color w:val="6F6878"/>
          <w:sz w:val="19"/>
        </w:rPr>
        <w:t>A humane path from protection to preparation, ownership, independence, and stewardship.</w:t>
      </w:r>
    </w:p>
    <w:p>
      <w:pPr>
        <w:keepNext/>
        <w:keepLines w:val="0"/>
        <w:spacing w:before="0" w:after="40" w:line="264" w:lineRule="auto"/>
      </w:pPr>
      <w:r>
        <w:rPr>
          <w:rFonts w:ascii="Calibri" w:hAnsi="Calibri"/>
          <w:b/>
          <w:color w:val="210D31"/>
          <w:sz w:val="23"/>
        </w:rPr>
        <w:t>05  What a Purple Presidency Would Actually Do</w:t>
      </w:r>
    </w:p>
    <w:p>
      <w:pPr>
        <w:keepNext w:val="0"/>
        <w:keepLines w:val="0"/>
        <w:spacing w:before="0" w:after="160" w:line="264" w:lineRule="auto"/>
        <w:ind w:left="547"/>
      </w:pPr>
      <w:r>
        <w:rPr>
          <w:rFonts w:ascii="Calibri" w:hAnsi="Calibri"/>
          <w:color w:val="6F6878"/>
          <w:sz w:val="19"/>
        </w:rPr>
        <w:t>A constitutional implementation path built around legislation, pilots, evidence, and public reporting.</w:t>
      </w:r>
    </w:p>
    <w:p>
      <w:pPr>
        <w:keepNext/>
        <w:keepLines w:val="0"/>
        <w:spacing w:before="0" w:after="40" w:line="264" w:lineRule="auto"/>
      </w:pPr>
      <w:r>
        <w:rPr>
          <w:rFonts w:ascii="Calibri" w:hAnsi="Calibri"/>
          <w:b/>
          <w:color w:val="210D31"/>
          <w:sz w:val="23"/>
        </w:rPr>
        <w:t>06  The Direct Voter Value Matrix</w:t>
      </w:r>
    </w:p>
    <w:p>
      <w:pPr>
        <w:keepNext w:val="0"/>
        <w:keepLines w:val="0"/>
        <w:spacing w:before="0" w:after="160" w:line="264" w:lineRule="auto"/>
        <w:ind w:left="547"/>
      </w:pPr>
      <w:r>
        <w:rPr>
          <w:rFonts w:ascii="Calibri" w:hAnsi="Calibri"/>
          <w:color w:val="6F6878"/>
          <w:sz w:val="19"/>
        </w:rPr>
        <w:t>A concise comparison of the Blue, Red, and Purple operating standards.</w:t>
      </w:r>
    </w:p>
    <w:p>
      <w:pPr>
        <w:keepNext/>
        <w:keepLines w:val="0"/>
        <w:spacing w:before="0" w:after="40" w:line="264" w:lineRule="auto"/>
      </w:pPr>
      <w:r>
        <w:rPr>
          <w:rFonts w:ascii="Calibri" w:hAnsi="Calibri"/>
          <w:b/>
          <w:color w:val="210D31"/>
          <w:sz w:val="23"/>
        </w:rPr>
        <w:t>07  The Purple Candidate Test</w:t>
      </w:r>
    </w:p>
    <w:p>
      <w:pPr>
        <w:keepNext w:val="0"/>
        <w:keepLines w:val="0"/>
        <w:spacing w:before="0" w:after="160" w:line="264" w:lineRule="auto"/>
        <w:ind w:left="547"/>
      </w:pPr>
      <w:r>
        <w:rPr>
          <w:rFonts w:ascii="Calibri" w:hAnsi="Calibri"/>
          <w:color w:val="6F6878"/>
          <w:sz w:val="19"/>
        </w:rPr>
        <w:t>Twelve questions a serious voter should ask before granting political power.</w:t>
      </w:r>
    </w:p>
    <w:p>
      <w:pPr>
        <w:keepNext/>
        <w:keepLines w:val="0"/>
        <w:spacing w:before="0" w:after="40" w:line="264" w:lineRule="auto"/>
      </w:pPr>
      <w:r>
        <w:rPr>
          <w:rFonts w:ascii="Calibri" w:hAnsi="Calibri"/>
          <w:b/>
          <w:color w:val="210D31"/>
          <w:sz w:val="23"/>
        </w:rPr>
        <w:t>08  Conclusion: Claim Your Autonomy</w:t>
      </w:r>
    </w:p>
    <w:p>
      <w:pPr>
        <w:keepNext w:val="0"/>
        <w:keepLines w:val="0"/>
        <w:spacing w:before="0" w:after="160" w:line="264" w:lineRule="auto"/>
        <w:ind w:left="547"/>
      </w:pPr>
      <w:r>
        <w:rPr>
          <w:rFonts w:ascii="Calibri" w:hAnsi="Calibri"/>
          <w:color w:val="6F6878"/>
          <w:sz w:val="19"/>
        </w:rPr>
        <w:t>The final choice between managed dependence and accountable capability-building.</w:t>
      </w:r>
    </w:p>
    <w:p>
      <w:r>
        <w:br w:type="page"/>
      </w:r>
    </w:p>
    <w:p>
      <w:pPr>
        <w:keepNext/>
        <w:keepLines w:val="0"/>
        <w:spacing w:before="160" w:after="240" w:line="240" w:lineRule="auto"/>
      </w:pPr>
      <w:r>
        <w:rPr>
          <w:rFonts w:ascii="Calibri" w:hAnsi="Calibri"/>
          <w:b/>
          <w:caps/>
          <w:color w:val="D8AE55"/>
          <w:sz w:val="19"/>
        </w:rPr>
        <w:t>CHAPTER 00</w:t>
      </w:r>
    </w:p>
    <w:p>
      <w:pPr>
        <w:keepNext/>
        <w:keepLines w:val="0"/>
        <w:spacing w:before="0" w:after="200" w:line="240" w:lineRule="auto"/>
      </w:pPr>
      <w:r>
        <w:rPr>
          <w:rFonts w:ascii="Georgia" w:hAnsi="Georgia"/>
          <w:color w:val="210D31"/>
          <w:sz w:val="54"/>
        </w:rPr>
        <w:t>The Hidden Trap of the Ballot Box</w:t>
      </w:r>
    </w:p>
    <w:p>
      <w:pPr>
        <w:keepNext w:val="0"/>
        <w:keepLines w:val="0"/>
        <w:spacing w:before="0" w:after="480" w:line="288" w:lineRule="auto"/>
      </w:pPr>
      <w:r>
        <w:rPr>
          <w:rFonts w:ascii="Calibri" w:hAnsi="Calibri"/>
          <w:i/>
          <w:color w:val="6C2D8D"/>
          <w:sz w:val="26"/>
        </w:rPr>
        <w:t>The familiar ballot offers different managers of the same dependency-producing machinery. The Purple question is whether the machinery itself must change.</w:t>
      </w:r>
    </w:p>
    <w:p>
      <w:pPr>
        <w:keepNext w:val="0"/>
        <w:keepLines w:val="0"/>
        <w:spacing w:before="0" w:after="160" w:line="320" w:lineRule="auto"/>
        <w:jc w:val="both"/>
      </w:pPr>
      <w:r>
        <w:rPr>
          <w:rFonts w:ascii="Calibri" w:hAnsi="Calibri"/>
          <w:i w:val="0"/>
          <w:color w:val="17131D"/>
          <w:sz w:val="22"/>
        </w:rPr>
        <w:t>Every four years, the American voter is told that the decisive choice lies inside a rigid binary: the Blue System or the Red System. The language changes. The campaign music changes. The coalitions change. Yet ordinary households often enter the next election carrying the same deeper burdens - rising essential costs, recurring debt, fragile savings, limited ownership, and too little control over the systems that shape daily life.</w:t>
      </w:r>
    </w:p>
    <w:p>
      <w:pPr>
        <w:keepNext w:val="0"/>
        <w:keepLines w:val="0"/>
        <w:spacing w:before="0" w:after="160" w:line="320" w:lineRule="auto"/>
        <w:jc w:val="both"/>
      </w:pPr>
      <w:r>
        <w:rPr>
          <w:rFonts w:ascii="Calibri" w:hAnsi="Calibri"/>
          <w:i w:val="0"/>
          <w:color w:val="17131D"/>
          <w:sz w:val="22"/>
        </w:rPr>
        <w:t>The Purple Way argues that the voter should examine more than the promises announced from a stage. The voter should ask what the system continually produces. Does it leave people more capable and independent, or does it repeatedly require new public rescue, new consumer borrowing, or deeper dependence on an employer, lender, bureaucracy, or political party?</w:t>
      </w:r>
    </w:p>
    <w:p>
      <w:pPr>
        <w:keepNext w:val="0"/>
        <w:keepLines w:val="0"/>
        <w:spacing w:before="0" w:after="160" w:line="320" w:lineRule="auto"/>
        <w:jc w:val="both"/>
      </w:pPr>
      <w:r>
        <w:rPr>
          <w:rFonts w:ascii="Calibri" w:hAnsi="Calibri"/>
          <w:i w:val="0"/>
          <w:color w:val="17131D"/>
          <w:sz w:val="22"/>
        </w:rPr>
        <w:t>The critique is not that every Blue voter wants dependency or that every Red voter wants corporate domination. Nor is it necessary to claim that every officeholder acts from corrupt intent. The structural concern is simpler: both major-party systems frequently measure activity, spending, program scale, market value, or electoral loyalty more easily than they measure the lasting power created inside the person.</w:t>
      </w:r>
    </w:p>
    <w:p>
      <w:pPr>
        <w:pStyle w:val="Heading2"/>
      </w:pPr>
      <w:r>
        <w:t>The shared pressure beneath the argument</w:t>
      </w:r>
    </w:p>
    <w:p>
      <w:pPr>
        <w:keepNext w:val="0"/>
        <w:keepLines w:val="0"/>
        <w:spacing w:before="0" w:after="160" w:line="320" w:lineRule="auto"/>
        <w:jc w:val="both"/>
      </w:pPr>
      <w:r>
        <w:rPr>
          <w:rFonts w:ascii="Calibri" w:hAnsi="Calibri"/>
          <w:i w:val="0"/>
          <w:color w:val="17131D"/>
          <w:sz w:val="22"/>
        </w:rPr>
        <w:t>Modern money and credit are not produced by one institution or one simple act. Currency, central-bank reserves, commercial-bank deposits, government borrowing, private lending, asset markets, and global capital flows interact. Bank lending can create deposits, but productive loans, speculative loans, public deficits, supply shocks, wages, technology, market power, and consumer expectations can affect prices in different ways. A serious Purple platform must therefore replace slogans about 'printing money' with published causal models and evidence.</w:t>
      </w:r>
    </w:p>
    <w:p>
      <w:pPr>
        <w:keepNext w:val="0"/>
        <w:keepLines w:val="0"/>
        <w:spacing w:before="0" w:after="160" w:line="320" w:lineRule="auto"/>
        <w:jc w:val="both"/>
      </w:pPr>
      <w:r>
        <w:rPr>
          <w:rFonts w:ascii="Calibri" w:hAnsi="Calibri"/>
          <w:i w:val="0"/>
          <w:color w:val="17131D"/>
          <w:sz w:val="22"/>
        </w:rPr>
        <w:t>Penland's deeper claim is that recurring dependence creates recurring monetary and fiscal pressure. When households cannot afford essentials, governments expand relief; when businesses cannot survive unstable costs, they seek subsidy or cheap credit; when infrastructure remains inefficient, society repeatedly finances the same friction. The Purple alternative is to reduce the underlying need for rescue by increasing real productive capacity and household strength.</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shd w:fill="F1EAF5"/>
            <w:tcBorders>
              <w:top w:val="nil"/>
              <w:start w:val="single" w:sz="18" w:space="0" w:color="4E176F"/>
              <w:bottom w:val="nil"/>
              <w:end w:val="nil"/>
            </w:tcBorders>
            <w:vAlign w:val="center"/>
          </w:tcPr>
          <w:p>
            <w:pPr>
              <w:keepNext/>
              <w:keepLines w:val="0"/>
              <w:spacing w:before="0" w:after="60" w:line="240" w:lineRule="auto"/>
            </w:pPr>
            <w:r>
              <w:rPr>
                <w:rFonts w:ascii="Calibri" w:hAnsi="Calibri"/>
                <w:b/>
                <w:caps/>
                <w:color w:val="4E176F"/>
                <w:sz w:val="17"/>
              </w:rPr>
              <w:t>THE PURPLE PREMISE</w:t>
            </w:r>
          </w:p>
          <w:p>
            <w:pPr>
              <w:keepNext w:val="0"/>
              <w:keepLines w:val="0"/>
              <w:spacing w:before="0" w:after="0" w:line="288" w:lineRule="auto"/>
            </w:pPr>
            <w:r>
              <w:rPr>
                <w:rFonts w:ascii="Calibri" w:hAnsi="Calibri"/>
                <w:b/>
                <w:color w:val="17131D"/>
                <w:sz w:val="23"/>
              </w:rPr>
              <w:t>The economy exists because people work their wisdom. A nation should therefore treat freely exercised human capability - not the treasury alone - as its primary capital.</w:t>
            </w:r>
          </w:p>
        </w:tc>
      </w:tr>
    </w:tbl>
    <w:p>
      <w:pPr>
        <w:keepNext w:val="0"/>
        <w:keepLines w:val="0"/>
        <w:spacing w:before="0" w:after="60" w:line="240" w:lineRule="auto"/>
      </w:pPr>
    </w:p>
    <w:p>
      <w:pPr>
        <w:pStyle w:val="Heading2"/>
      </w:pPr>
      <w:r>
        <w:t>A vote for a different operating standard</w:t>
      </w:r>
    </w:p>
    <w:p>
      <w:pPr>
        <w:keepNext w:val="0"/>
        <w:keepLines w:val="0"/>
        <w:spacing w:before="0" w:after="160" w:line="320" w:lineRule="auto"/>
        <w:jc w:val="both"/>
      </w:pPr>
      <w:r>
        <w:rPr>
          <w:rFonts w:ascii="Calibri" w:hAnsi="Calibri"/>
          <w:i w:val="0"/>
          <w:color w:val="17131D"/>
          <w:sz w:val="22"/>
        </w:rPr>
        <w:t>Selecting a Purple candidate would not merely mean choosing a different personality. It would mean demanding a presidency organized around a public covenant, household-centered measurements, productive investment, distributed ownership, and a transparent path from temporary protection to durable independence.</w:t>
      </w:r>
    </w:p>
    <w:p>
      <w:pPr>
        <w:keepNext w:val="0"/>
        <w:keepLines w:val="0"/>
        <w:spacing w:before="0" w:after="160" w:line="320" w:lineRule="auto"/>
        <w:jc w:val="both"/>
      </w:pPr>
      <w:r>
        <w:rPr>
          <w:rFonts w:ascii="Calibri" w:hAnsi="Calibri"/>
          <w:i w:val="0"/>
          <w:color w:val="17131D"/>
          <w:sz w:val="22"/>
        </w:rPr>
        <w:t>The following chapters translate that philosophy into a voter test: what the candidate must promise, what the law would permit, how the economic claims would be measured, what safeguards must prevent abuse, and what evidence would justify expanding the system.</w:t>
      </w:r>
    </w:p>
    <w:p>
      <w:r>
        <w:br w:type="page"/>
      </w:r>
    </w:p>
    <w:p>
      <w:pPr>
        <w:keepNext/>
        <w:keepLines w:val="0"/>
        <w:spacing w:before="160" w:after="240" w:line="240" w:lineRule="auto"/>
      </w:pPr>
      <w:r>
        <w:rPr>
          <w:rFonts w:ascii="Calibri" w:hAnsi="Calibri"/>
          <w:b/>
          <w:caps/>
          <w:color w:val="D8AE55"/>
          <w:sz w:val="19"/>
        </w:rPr>
        <w:t>CHAPTER 01</w:t>
      </w:r>
    </w:p>
    <w:p>
      <w:pPr>
        <w:keepNext/>
        <w:keepLines w:val="0"/>
        <w:spacing w:before="0" w:after="200" w:line="240" w:lineRule="auto"/>
      </w:pPr>
      <w:r>
        <w:rPr>
          <w:rFonts w:ascii="Georgia" w:hAnsi="Georgia"/>
          <w:color w:val="210D31"/>
          <w:sz w:val="54"/>
        </w:rPr>
        <w:t>Promises vs. Contracts</w:t>
      </w:r>
    </w:p>
    <w:p>
      <w:pPr>
        <w:keepNext w:val="0"/>
        <w:keepLines w:val="0"/>
        <w:spacing w:before="0" w:after="480" w:line="288" w:lineRule="auto"/>
      </w:pPr>
      <w:r>
        <w:rPr>
          <w:rFonts w:ascii="Calibri" w:hAnsi="Calibri"/>
          <w:i/>
          <w:color w:val="6C2D8D"/>
          <w:sz w:val="26"/>
        </w:rPr>
        <w:t>A political platform asks for trust. A Purple candidate should offer a public covenant with defined duties, evidence, and consequences that remain inside the law.</w:t>
      </w:r>
    </w:p>
    <w:p>
      <w:pPr>
        <w:keepNext w:val="0"/>
        <w:keepLines w:val="0"/>
        <w:spacing w:before="0" w:after="160" w:line="320" w:lineRule="auto"/>
        <w:jc w:val="both"/>
      </w:pPr>
      <w:r>
        <w:rPr>
          <w:rFonts w:ascii="Calibri" w:hAnsi="Calibri"/>
          <w:i w:val="0"/>
          <w:color w:val="17131D"/>
          <w:sz w:val="22"/>
        </w:rPr>
        <w:t>Traditional campaigns publish platforms filled with priorities, values, and goals. Some promises are sincere; some are abandoned; many collide with Congress, courts, economic conditions, emergencies, or the practical limits of executive authority. The voter often discovers that a platform creates moral or political pressure but little precise accountability.</w:t>
      </w:r>
    </w:p>
    <w:p>
      <w:pPr>
        <w:keepNext w:val="0"/>
        <w:keepLines w:val="0"/>
        <w:spacing w:before="0" w:after="160" w:line="320" w:lineRule="auto"/>
        <w:jc w:val="both"/>
      </w:pPr>
      <w:r>
        <w:rPr>
          <w:rFonts w:ascii="Calibri" w:hAnsi="Calibri"/>
          <w:i w:val="0"/>
          <w:color w:val="17131D"/>
          <w:sz w:val="22"/>
        </w:rPr>
        <w:t>The Purple Way answers with the Statesman Covenant: a public, performance-driven agreement that states what a candidate will seek to accomplish, which powers will be used, which powers will not be used, how results will be measured, and what the officeholder will do when evidence shows failure.</w:t>
      </w:r>
    </w:p>
    <w:p>
      <w:pPr>
        <w:pStyle w:val="Heading2"/>
      </w:pPr>
      <w:r>
        <w:t>The mechanics of the legal firewall</w:t>
      </w:r>
    </w:p>
    <w:p>
      <w:pPr>
        <w:keepNext w:val="0"/>
        <w:keepLines w:val="0"/>
        <w:numPr>
          <w:ilvl w:val="0"/>
          <w:numId w:val="90"/>
        </w:numPr>
        <w:spacing w:before="0" w:after="80" w:line="290" w:lineRule="auto"/>
        <w:ind w:left="540" w:hanging="279"/>
      </w:pPr>
      <w:r>
        <w:rPr>
          <w:rFonts w:ascii="Calibri" w:hAnsi="Calibri"/>
          <w:b/>
          <w:color w:val="17131D"/>
          <w:sz w:val="22"/>
        </w:rPr>
        <w:t>A public covenant, not a private fantasy.</w:t>
      </w:r>
      <w:r>
        <w:rPr>
          <w:rFonts w:ascii="Calibri" w:hAnsi="Calibri"/>
          <w:color w:val="17131D"/>
          <w:sz w:val="22"/>
        </w:rPr>
        <w:t xml:space="preserve"> The document should distinguish campaign commitments, legislation the candidate will request, executive actions that already have lawful authority, and outcomes that depend on other institutions.</w:t>
      </w:r>
    </w:p>
    <w:p>
      <w:pPr>
        <w:keepNext w:val="0"/>
        <w:keepLines w:val="0"/>
        <w:numPr>
          <w:ilvl w:val="0"/>
          <w:numId w:val="90"/>
        </w:numPr>
        <w:spacing w:before="0" w:after="80" w:line="290" w:lineRule="auto"/>
        <w:ind w:left="540" w:hanging="279"/>
      </w:pPr>
      <w:r>
        <w:rPr>
          <w:rFonts w:ascii="Calibri" w:hAnsi="Calibri"/>
          <w:b/>
          <w:color w:val="17131D"/>
          <w:sz w:val="22"/>
        </w:rPr>
        <w:t>Published baselines and targets.</w:t>
      </w:r>
      <w:r>
        <w:rPr>
          <w:rFonts w:ascii="Calibri" w:hAnsi="Calibri"/>
          <w:color w:val="17131D"/>
          <w:sz w:val="22"/>
        </w:rPr>
        <w:t xml:space="preserve"> Every major promise should identify the starting measurement, the intended direction, the time horizon, the responsible institution, and the source of the public data.</w:t>
      </w:r>
    </w:p>
    <w:p>
      <w:pPr>
        <w:keepNext w:val="0"/>
        <w:keepLines w:val="0"/>
        <w:numPr>
          <w:ilvl w:val="0"/>
          <w:numId w:val="90"/>
        </w:numPr>
        <w:spacing w:before="0" w:after="80" w:line="290" w:lineRule="auto"/>
        <w:ind w:left="540" w:hanging="279"/>
      </w:pPr>
      <w:r>
        <w:rPr>
          <w:rFonts w:ascii="Calibri" w:hAnsi="Calibri"/>
          <w:b/>
          <w:color w:val="17131D"/>
          <w:sz w:val="22"/>
        </w:rPr>
        <w:t>Restriction of discretionary favoritism.</w:t>
      </w:r>
      <w:r>
        <w:rPr>
          <w:rFonts w:ascii="Calibri" w:hAnsi="Calibri"/>
          <w:color w:val="17131D"/>
          <w:sz w:val="22"/>
        </w:rPr>
        <w:t xml:space="preserve"> Competitive criteria, conflict disclosures, independent scoring, public contract terms, audits, and clawbacks should reduce the ability to reward donors or favored districts.</w:t>
      </w:r>
    </w:p>
    <w:p>
      <w:pPr>
        <w:keepNext w:val="0"/>
        <w:keepLines w:val="0"/>
        <w:numPr>
          <w:ilvl w:val="0"/>
          <w:numId w:val="90"/>
        </w:numPr>
        <w:spacing w:before="0" w:after="80" w:line="290" w:lineRule="auto"/>
        <w:ind w:left="540" w:hanging="279"/>
      </w:pPr>
      <w:r>
        <w:rPr>
          <w:rFonts w:ascii="Calibri" w:hAnsi="Calibri"/>
          <w:b/>
          <w:color w:val="17131D"/>
          <w:sz w:val="22"/>
        </w:rPr>
        <w:t>Correction before theater.</w:t>
      </w:r>
      <w:r>
        <w:rPr>
          <w:rFonts w:ascii="Calibri" w:hAnsi="Calibri"/>
          <w:color w:val="17131D"/>
          <w:sz w:val="22"/>
        </w:rPr>
        <w:t xml:space="preserve"> If a pilot misses its human-capital or household targets, the covenant should require investigation, correction, pause, or termination rather than a new slogan.</w:t>
      </w:r>
    </w:p>
    <w:p>
      <w:pPr>
        <w:keepNext w:val="0"/>
        <w:keepLines w:val="0"/>
        <w:numPr>
          <w:ilvl w:val="0"/>
          <w:numId w:val="90"/>
        </w:numPr>
        <w:spacing w:before="0" w:after="80" w:line="290" w:lineRule="auto"/>
        <w:ind w:left="540" w:hanging="279"/>
      </w:pPr>
      <w:r>
        <w:rPr>
          <w:rFonts w:ascii="Calibri" w:hAnsi="Calibri"/>
          <w:b/>
          <w:color w:val="17131D"/>
          <w:sz w:val="22"/>
        </w:rPr>
        <w:t>Consequences that are lawful.</w:t>
      </w:r>
      <w:r>
        <w:rPr>
          <w:rFonts w:ascii="Calibri" w:hAnsi="Calibri"/>
          <w:color w:val="17131D"/>
          <w:sz w:val="22"/>
        </w:rPr>
        <w:t xml:space="preserve"> Political consequences can include public breach findings, loss of party support, primary challenges, refusal to seek reelection, or other commitments. Financial penalties require valid law, due process, and careful review; they cannot simply be invented by campaign language.</w:t>
      </w:r>
    </w:p>
    <w:p>
      <w:pPr>
        <w:pStyle w:val="Heading2"/>
      </w:pPr>
      <w:r>
        <w:t>What the covenant cannot do</w:t>
      </w:r>
    </w:p>
    <w:p>
      <w:pPr>
        <w:keepNext w:val="0"/>
        <w:keepLines w:val="0"/>
        <w:spacing w:before="0" w:after="160" w:line="320" w:lineRule="auto"/>
        <w:jc w:val="both"/>
      </w:pPr>
      <w:r>
        <w:rPr>
          <w:rFonts w:ascii="Calibri" w:hAnsi="Calibri"/>
          <w:i w:val="0"/>
          <w:color w:val="17131D"/>
          <w:sz w:val="22"/>
        </w:rPr>
        <w:t>The strongest version of the Purple idea must be honest about constitutional limits. No contract can create an automatic private power to remove a President. Article II, Section 4 governs impeachment and removal for impeachable offenses, while the Twenty-Fifth Amendment addresses vacancy and presidential inability. Elections, term expiration, resignation, and constitutional procedures remain controlling.</w:t>
      </w:r>
    </w:p>
    <w:p>
      <w:pPr>
        <w:keepNext w:val="0"/>
        <w:keepLines w:val="0"/>
        <w:spacing w:before="0" w:after="160" w:line="320" w:lineRule="auto"/>
        <w:jc w:val="both"/>
      </w:pPr>
      <w:r>
        <w:rPr>
          <w:rFonts w:ascii="Calibri" w:hAnsi="Calibri"/>
          <w:i w:val="0"/>
          <w:color w:val="17131D"/>
          <w:sz w:val="22"/>
        </w:rPr>
        <w:t>The useful legal inversion is therefore not magical removal. It is the conversion of vague campaign language into a public instrument that can support legislation, oversight, political accountability, contract remedies against participating entities, and transparent evidence for voters, Congress, inspectors general, courts, and the press.</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shd w:fill="F1EAF5"/>
            <w:tcBorders>
              <w:top w:val="nil"/>
              <w:start w:val="single" w:sz="18" w:space="0" w:color="4E176F"/>
              <w:bottom w:val="nil"/>
              <w:end w:val="nil"/>
            </w:tcBorders>
            <w:vAlign w:val="center"/>
          </w:tcPr>
          <w:p>
            <w:pPr>
              <w:keepNext/>
              <w:keepLines w:val="0"/>
              <w:spacing w:before="0" w:after="60" w:line="240" w:lineRule="auto"/>
            </w:pPr>
            <w:r>
              <w:rPr>
                <w:rFonts w:ascii="Calibri" w:hAnsi="Calibri"/>
                <w:b/>
                <w:caps/>
                <w:color w:val="4E176F"/>
                <w:sz w:val="17"/>
              </w:rPr>
              <w:t>CITIZEN AS PRINCIPAL</w:t>
            </w:r>
          </w:p>
          <w:p>
            <w:pPr>
              <w:keepNext w:val="0"/>
              <w:keepLines w:val="0"/>
              <w:spacing w:before="0" w:after="0" w:line="288" w:lineRule="auto"/>
            </w:pPr>
            <w:r>
              <w:rPr>
                <w:rFonts w:ascii="Calibri" w:hAnsi="Calibri"/>
                <w:b/>
                <w:color w:val="17131D"/>
                <w:sz w:val="23"/>
              </w:rPr>
              <w:t>The Purple voter is not a spectator waiting for generosity. The voter becomes the principal who demands written duties, visible measurements, and an explanation whenever reality diverges from the covenant.</w:t>
            </w:r>
          </w:p>
        </w:tc>
      </w:tr>
    </w:tbl>
    <w:p>
      <w:pPr>
        <w:keepNext w:val="0"/>
        <w:keepLines w:val="0"/>
        <w:spacing w:before="0" w:after="60" w:line="240" w:lineRule="auto"/>
      </w:pPr>
    </w:p>
    <w:p>
      <w:pPr>
        <w:pStyle w:val="Heading2"/>
      </w:pPr>
      <w:r>
        <w:t>Six commitments every Purple candidate should sign</w:t>
      </w:r>
    </w:p>
    <w:p>
      <w:pPr>
        <w:keepNext w:val="0"/>
        <w:keepLines w:val="0"/>
        <w:numPr>
          <w:ilvl w:val="0"/>
          <w:numId w:val="91"/>
        </w:numPr>
        <w:spacing w:before="0" w:after="80" w:line="290" w:lineRule="auto"/>
        <w:ind w:left="540" w:hanging="279"/>
      </w:pPr>
      <w:r>
        <w:rPr>
          <w:rFonts w:ascii="Calibri" w:hAnsi="Calibri"/>
          <w:color w:val="17131D"/>
          <w:sz w:val="22"/>
        </w:rPr>
        <w:t>I will publish the legal authority claimed for every major action.</w:t>
      </w:r>
    </w:p>
    <w:p>
      <w:pPr>
        <w:keepNext w:val="0"/>
        <w:keepLines w:val="0"/>
        <w:numPr>
          <w:ilvl w:val="0"/>
          <w:numId w:val="91"/>
        </w:numPr>
        <w:spacing w:before="0" w:after="80" w:line="290" w:lineRule="auto"/>
        <w:ind w:left="540" w:hanging="279"/>
      </w:pPr>
      <w:r>
        <w:rPr>
          <w:rFonts w:ascii="Calibri" w:hAnsi="Calibri"/>
          <w:color w:val="17131D"/>
          <w:sz w:val="22"/>
        </w:rPr>
        <w:t>I will disclose baselines, targets, conflicts, amendments, costs, and measurement methods.</w:t>
      </w:r>
    </w:p>
    <w:p>
      <w:pPr>
        <w:keepNext w:val="0"/>
        <w:keepLines w:val="0"/>
        <w:numPr>
          <w:ilvl w:val="0"/>
          <w:numId w:val="91"/>
        </w:numPr>
        <w:spacing w:before="0" w:after="80" w:line="290" w:lineRule="auto"/>
        <w:ind w:left="540" w:hanging="279"/>
      </w:pPr>
      <w:r>
        <w:rPr>
          <w:rFonts w:ascii="Calibri" w:hAnsi="Calibri"/>
          <w:color w:val="17131D"/>
          <w:sz w:val="22"/>
        </w:rPr>
        <w:t>I will not count projected savings or benefits before independent verification.</w:t>
      </w:r>
    </w:p>
    <w:p>
      <w:pPr>
        <w:keepNext w:val="0"/>
        <w:keepLines w:val="0"/>
        <w:numPr>
          <w:ilvl w:val="0"/>
          <w:numId w:val="91"/>
        </w:numPr>
        <w:spacing w:before="0" w:after="80" w:line="290" w:lineRule="auto"/>
        <w:ind w:left="540" w:hanging="279"/>
      </w:pPr>
      <w:r>
        <w:rPr>
          <w:rFonts w:ascii="Calibri" w:hAnsi="Calibri"/>
          <w:color w:val="17131D"/>
          <w:sz w:val="22"/>
        </w:rPr>
        <w:t>I will protect due process, privacy, equal protection, civil rights, and constitutional limits.</w:t>
      </w:r>
    </w:p>
    <w:p>
      <w:pPr>
        <w:keepNext w:val="0"/>
        <w:keepLines w:val="0"/>
        <w:numPr>
          <w:ilvl w:val="0"/>
          <w:numId w:val="91"/>
        </w:numPr>
        <w:spacing w:before="0" w:after="80" w:line="290" w:lineRule="auto"/>
        <w:ind w:left="540" w:hanging="279"/>
      </w:pPr>
      <w:r>
        <w:rPr>
          <w:rFonts w:ascii="Calibri" w:hAnsi="Calibri"/>
          <w:color w:val="17131D"/>
          <w:sz w:val="22"/>
        </w:rPr>
        <w:t>I will pause, correct, or terminate programs that cause material human or financial harm.</w:t>
      </w:r>
    </w:p>
    <w:p>
      <w:pPr>
        <w:keepNext w:val="0"/>
        <w:keepLines w:val="0"/>
        <w:numPr>
          <w:ilvl w:val="0"/>
          <w:numId w:val="91"/>
        </w:numPr>
        <w:spacing w:before="0" w:after="80" w:line="290" w:lineRule="auto"/>
        <w:ind w:left="540" w:hanging="279"/>
      </w:pPr>
      <w:r>
        <w:rPr>
          <w:rFonts w:ascii="Calibri" w:hAnsi="Calibri"/>
          <w:color w:val="17131D"/>
          <w:sz w:val="22"/>
        </w:rPr>
        <w:t>I will report failure as openly as success and will not move the goalposts after the fact.</w:t>
      </w:r>
    </w:p>
    <w:p>
      <w:r>
        <w:br w:type="page"/>
      </w:r>
    </w:p>
    <w:p>
      <w:pPr>
        <w:keepNext/>
        <w:keepLines w:val="0"/>
        <w:spacing w:before="160" w:after="240" w:line="240" w:lineRule="auto"/>
      </w:pPr>
      <w:r>
        <w:rPr>
          <w:rFonts w:ascii="Calibri" w:hAnsi="Calibri"/>
          <w:b/>
          <w:caps/>
          <w:color w:val="D8AE55"/>
          <w:sz w:val="19"/>
        </w:rPr>
        <w:t>CHAPTER 02</w:t>
      </w:r>
    </w:p>
    <w:p>
      <w:pPr>
        <w:keepNext/>
        <w:keepLines w:val="0"/>
        <w:spacing w:before="0" w:after="200" w:line="240" w:lineRule="auto"/>
      </w:pPr>
      <w:r>
        <w:rPr>
          <w:rFonts w:ascii="Georgia" w:hAnsi="Georgia"/>
          <w:color w:val="210D31"/>
          <w:sz w:val="54"/>
        </w:rPr>
        <w:t>The Pocketbook Advantage</w:t>
      </w:r>
    </w:p>
    <w:p>
      <w:pPr>
        <w:keepNext w:val="0"/>
        <w:keepLines w:val="0"/>
        <w:spacing w:before="0" w:after="480" w:line="288" w:lineRule="auto"/>
      </w:pPr>
      <w:r>
        <w:rPr>
          <w:rFonts w:ascii="Calibri" w:hAnsi="Calibri"/>
          <w:i/>
          <w:color w:val="6C2D8D"/>
          <w:sz w:val="26"/>
        </w:rPr>
        <w:t>National output matters, but the voter lives inside a household. A Purple scoreboard asks what families can afford, retain, own, and build.</w:t>
      </w:r>
    </w:p>
    <w:p>
      <w:pPr>
        <w:keepNext w:val="0"/>
        <w:keepLines w:val="0"/>
        <w:spacing w:before="0" w:after="160" w:line="320" w:lineRule="auto"/>
        <w:jc w:val="both"/>
      </w:pPr>
      <w:r>
        <w:rPr>
          <w:rFonts w:ascii="Calibri" w:hAnsi="Calibri"/>
          <w:i w:val="0"/>
          <w:color w:val="17131D"/>
          <w:sz w:val="22"/>
        </w:rPr>
        <w:t>Gross domestic product measures the value of final goods and services produced in the United States. It is a useful and widely used measure of economic activity. The Purple criticism should not be that GDP is meaningless or that it literally rises whenever any individual suffers. The sounder criticism is that GDP alone cannot tell voters whether essential costs are affordable, household balance sheets are resilient, ownership is broadening, or public spending is curing a problem rather than repeatedly paying for its consequences.</w:t>
      </w:r>
    </w:p>
    <w:p>
      <w:pPr>
        <w:keepNext w:val="0"/>
        <w:keepLines w:val="0"/>
        <w:spacing w:before="0" w:after="160" w:line="320" w:lineRule="auto"/>
        <w:jc w:val="both"/>
      </w:pPr>
      <w:r>
        <w:rPr>
          <w:rFonts w:ascii="Calibri" w:hAnsi="Calibri"/>
          <w:i w:val="0"/>
          <w:color w:val="17131D"/>
          <w:sz w:val="22"/>
        </w:rPr>
        <w:t>A Purple administration would therefore retain established national accounts for transparency while adding a household-centered scorecard. The aim is not to hide output; it is to stop confusing more transactions with more freedom.</w:t>
      </w:r>
    </w:p>
    <w:p>
      <w:pPr>
        <w:pStyle w:val="Heading2"/>
      </w:pPr>
      <w:r>
        <w:t>The four household-centered measures</w:t>
      </w:r>
    </w:p>
    <w:tbl>
      <w:tblPr>
        <w:tblW w:type="dxa" w:w="9360"/>
        <w:jc w:val="left"/>
        <w:tblLayout w:type="fixed"/>
        <w:tblLook w:firstColumn="1" w:firstRow="1" w:lastColumn="0" w:lastRow="0" w:noHBand="0" w:noVBand="1" w:val="04A0"/>
        <w:tblInd w:w="120" w:type="dxa"/>
      </w:tblPr>
      <w:tblGrid>
        <w:gridCol w:w="1600"/>
        <w:gridCol w:w="7760"/>
      </w:tblGrid>
      <w:tr>
        <w:tc>
          <w:tcPr>
            <w:tcW w:type="dxa" w:w="1600"/>
            <w:tcMar>
              <w:top w:w="100" w:type="dxa"/>
              <w:start w:w="140" w:type="dxa"/>
              <w:bottom w:w="100" w:type="dxa"/>
              <w:end w:w="140" w:type="dxa"/>
            </w:tcMar>
            <w:shd w:fill="210D31"/>
            <w:tcBorders>
              <w:top w:val="single" w:sz="6" w:space="0" w:color="D9D0DC"/>
              <w:start w:val="single" w:sz="6" w:space="0" w:color="D9D0DC"/>
              <w:bottom w:val="single" w:sz="6" w:space="0" w:color="D9D0DC"/>
              <w:end w:val="single" w:sz="6" w:space="0" w:color="D9D0DC"/>
            </w:tcBorders>
            <w:vAlign w:val="center"/>
          </w:tcPr>
          <w:p>
            <w:pPr>
              <w:keepNext w:val="0"/>
              <w:keepLines w:val="0"/>
              <w:spacing w:before="0" w:after="0" w:line="240" w:lineRule="auto"/>
              <w:jc w:val="center"/>
            </w:pPr>
            <w:r>
              <w:rPr>
                <w:rFonts w:ascii="Calibri" w:hAnsi="Calibri"/>
                <w:b/>
                <w:color w:val="EFD696"/>
                <w:sz w:val="30"/>
              </w:rPr>
              <w:t>PPM</w:t>
            </w:r>
          </w:p>
        </w:tc>
        <w:tc>
          <w:tcPr>
            <w:tcW w:type="dxa" w:w="7760"/>
            <w:tcMar>
              <w:top w:w="100" w:type="dxa"/>
              <w:start w:w="140" w:type="dxa"/>
              <w:bottom w:w="100" w:type="dxa"/>
              <w:end w:w="140" w:type="dxa"/>
            </w:tcMar>
            <w:shd w:fill="F8F5EE"/>
            <w:tcBorders>
              <w:top w:val="single" w:sz="6" w:space="0" w:color="D9D0DC"/>
              <w:start w:val="single" w:sz="6" w:space="0" w:color="D9D0DC"/>
              <w:bottom w:val="single" w:sz="6" w:space="0" w:color="D9D0DC"/>
              <w:end w:val="single" w:sz="6" w:space="0" w:color="D9D0DC"/>
            </w:tcBorders>
            <w:vAlign w:val="center"/>
          </w:tcPr>
          <w:p>
            <w:pPr>
              <w:keepNext w:val="0"/>
              <w:keepLines w:val="0"/>
              <w:spacing w:before="0" w:after="40" w:line="240" w:lineRule="auto"/>
            </w:pPr>
            <w:r>
              <w:rPr>
                <w:rFonts w:ascii="Calibri" w:hAnsi="Calibri"/>
                <w:b/>
                <w:color w:val="4E176F"/>
                <w:sz w:val="22"/>
              </w:rPr>
              <w:t>Purchasing Power Multiplier</w:t>
            </w:r>
          </w:p>
          <w:p>
            <w:pPr>
              <w:keepNext w:val="0"/>
              <w:keepLines w:val="0"/>
              <w:spacing w:before="0" w:after="0" w:line="276" w:lineRule="auto"/>
            </w:pPr>
            <w:r>
              <w:rPr>
                <w:rFonts w:ascii="Calibri" w:hAnsi="Calibri"/>
                <w:color w:val="17131D"/>
                <w:sz w:val="20"/>
              </w:rPr>
              <w:t>Tracks how many units of essential food, energy, housing, transportation, healthcare, and tools a typical hour of work or median household income can purchase.</w:t>
            </w:r>
          </w:p>
        </w:tc>
      </w:tr>
    </w:tbl>
    <w:p>
      <w:pPr>
        <w:keepNext w:val="0"/>
        <w:keepLines w:val="0"/>
        <w:spacing w:before="0" w:after="20" w:line="240" w:lineRule="auto"/>
      </w:pPr>
    </w:p>
    <w:tbl>
      <w:tblPr>
        <w:tblW w:type="dxa" w:w="9360"/>
        <w:jc w:val="left"/>
        <w:tblLayout w:type="fixed"/>
        <w:tblLook w:firstColumn="1" w:firstRow="1" w:lastColumn="0" w:lastRow="0" w:noHBand="0" w:noVBand="1" w:val="04A0"/>
        <w:tblInd w:w="120" w:type="dxa"/>
      </w:tblPr>
      <w:tblGrid>
        <w:gridCol w:w="1600"/>
        <w:gridCol w:w="7760"/>
      </w:tblGrid>
      <w:tr>
        <w:tc>
          <w:tcPr>
            <w:tcW w:type="dxa" w:w="1600"/>
            <w:tcMar>
              <w:top w:w="100" w:type="dxa"/>
              <w:start w:w="140" w:type="dxa"/>
              <w:bottom w:w="100" w:type="dxa"/>
              <w:end w:w="140" w:type="dxa"/>
            </w:tcMar>
            <w:shd w:fill="210D31"/>
            <w:tcBorders>
              <w:top w:val="single" w:sz="6" w:space="0" w:color="D9D0DC"/>
              <w:start w:val="single" w:sz="6" w:space="0" w:color="D9D0DC"/>
              <w:bottom w:val="single" w:sz="6" w:space="0" w:color="D9D0DC"/>
              <w:end w:val="single" w:sz="6" w:space="0" w:color="D9D0DC"/>
            </w:tcBorders>
            <w:vAlign w:val="center"/>
          </w:tcPr>
          <w:p>
            <w:pPr>
              <w:keepNext w:val="0"/>
              <w:keepLines w:val="0"/>
              <w:spacing w:before="0" w:after="0" w:line="240" w:lineRule="auto"/>
              <w:jc w:val="center"/>
            </w:pPr>
            <w:r>
              <w:rPr>
                <w:rFonts w:ascii="Calibri" w:hAnsi="Calibri"/>
                <w:b/>
                <w:color w:val="EFD696"/>
                <w:sz w:val="30"/>
              </w:rPr>
              <w:t>HSR</w:t>
            </w:r>
          </w:p>
        </w:tc>
        <w:tc>
          <w:tcPr>
            <w:tcW w:type="dxa" w:w="7760"/>
            <w:tcMar>
              <w:top w:w="100" w:type="dxa"/>
              <w:start w:w="140" w:type="dxa"/>
              <w:bottom w:w="100" w:type="dxa"/>
              <w:end w:w="140" w:type="dxa"/>
            </w:tcMar>
            <w:shd w:fill="F8F5EE"/>
            <w:tcBorders>
              <w:top w:val="single" w:sz="6" w:space="0" w:color="D9D0DC"/>
              <w:start w:val="single" w:sz="6" w:space="0" w:color="D9D0DC"/>
              <w:bottom w:val="single" w:sz="6" w:space="0" w:color="D9D0DC"/>
              <w:end w:val="single" w:sz="6" w:space="0" w:color="D9D0DC"/>
            </w:tcBorders>
            <w:vAlign w:val="center"/>
          </w:tcPr>
          <w:p>
            <w:pPr>
              <w:keepNext w:val="0"/>
              <w:keepLines w:val="0"/>
              <w:spacing w:before="0" w:after="40" w:line="240" w:lineRule="auto"/>
            </w:pPr>
            <w:r>
              <w:rPr>
                <w:rFonts w:ascii="Calibri" w:hAnsi="Calibri"/>
                <w:b/>
                <w:color w:val="4E176F"/>
                <w:sz w:val="22"/>
              </w:rPr>
              <w:t>Household Surplus Ratio</w:t>
            </w:r>
          </w:p>
          <w:p>
            <w:pPr>
              <w:keepNext w:val="0"/>
              <w:keepLines w:val="0"/>
              <w:spacing w:before="0" w:after="0" w:line="276" w:lineRule="auto"/>
            </w:pPr>
            <w:r>
              <w:rPr>
                <w:rFonts w:ascii="Calibri" w:hAnsi="Calibri"/>
                <w:color w:val="17131D"/>
                <w:sz w:val="20"/>
              </w:rPr>
              <w:t>Measures the share of after-tax income remaining after a transparent basket of essential costs, minimum debt service, and basic protection needs.</w:t>
            </w:r>
          </w:p>
        </w:tc>
      </w:tr>
    </w:tbl>
    <w:p>
      <w:pPr>
        <w:keepNext w:val="0"/>
        <w:keepLines w:val="0"/>
        <w:spacing w:before="0" w:after="20" w:line="240" w:lineRule="auto"/>
      </w:pPr>
    </w:p>
    <w:tbl>
      <w:tblPr>
        <w:tblW w:type="dxa" w:w="9360"/>
        <w:jc w:val="left"/>
        <w:tblLayout w:type="fixed"/>
        <w:tblLook w:firstColumn="1" w:firstRow="1" w:lastColumn="0" w:lastRow="0" w:noHBand="0" w:noVBand="1" w:val="04A0"/>
        <w:tblInd w:w="120" w:type="dxa"/>
      </w:tblPr>
      <w:tblGrid>
        <w:gridCol w:w="1600"/>
        <w:gridCol w:w="7760"/>
      </w:tblGrid>
      <w:tr>
        <w:tc>
          <w:tcPr>
            <w:tcW w:type="dxa" w:w="1600"/>
            <w:tcMar>
              <w:top w:w="100" w:type="dxa"/>
              <w:start w:w="140" w:type="dxa"/>
              <w:bottom w:w="100" w:type="dxa"/>
              <w:end w:w="140" w:type="dxa"/>
            </w:tcMar>
            <w:shd w:fill="210D31"/>
            <w:tcBorders>
              <w:top w:val="single" w:sz="6" w:space="0" w:color="D9D0DC"/>
              <w:start w:val="single" w:sz="6" w:space="0" w:color="D9D0DC"/>
              <w:bottom w:val="single" w:sz="6" w:space="0" w:color="D9D0DC"/>
              <w:end w:val="single" w:sz="6" w:space="0" w:color="D9D0DC"/>
            </w:tcBorders>
            <w:vAlign w:val="center"/>
          </w:tcPr>
          <w:p>
            <w:pPr>
              <w:keepNext w:val="0"/>
              <w:keepLines w:val="0"/>
              <w:spacing w:before="0" w:after="0" w:line="240" w:lineRule="auto"/>
              <w:jc w:val="center"/>
            </w:pPr>
            <w:r>
              <w:rPr>
                <w:rFonts w:ascii="Calibri" w:hAnsi="Calibri"/>
                <w:b/>
                <w:color w:val="EFD696"/>
                <w:sz w:val="30"/>
              </w:rPr>
              <w:t>IEO</w:t>
            </w:r>
          </w:p>
        </w:tc>
        <w:tc>
          <w:tcPr>
            <w:tcW w:type="dxa" w:w="7760"/>
            <w:tcMar>
              <w:top w:w="100" w:type="dxa"/>
              <w:start w:w="140" w:type="dxa"/>
              <w:bottom w:w="100" w:type="dxa"/>
              <w:end w:w="140" w:type="dxa"/>
            </w:tcMar>
            <w:shd w:fill="F8F5EE"/>
            <w:tcBorders>
              <w:top w:val="single" w:sz="6" w:space="0" w:color="D9D0DC"/>
              <w:start w:val="single" w:sz="6" w:space="0" w:color="D9D0DC"/>
              <w:bottom w:val="single" w:sz="6" w:space="0" w:color="D9D0DC"/>
              <w:end w:val="single" w:sz="6" w:space="0" w:color="D9D0DC"/>
            </w:tcBorders>
            <w:vAlign w:val="center"/>
          </w:tcPr>
          <w:p>
            <w:pPr>
              <w:keepNext w:val="0"/>
              <w:keepLines w:val="0"/>
              <w:spacing w:before="0" w:after="40" w:line="240" w:lineRule="auto"/>
            </w:pPr>
            <w:r>
              <w:rPr>
                <w:rFonts w:ascii="Calibri" w:hAnsi="Calibri"/>
                <w:b/>
                <w:color w:val="4E176F"/>
                <w:sz w:val="22"/>
              </w:rPr>
              <w:t>Infrastructure Efficiency Output</w:t>
            </w:r>
          </w:p>
          <w:p>
            <w:pPr>
              <w:keepNext w:val="0"/>
              <w:keepLines w:val="0"/>
              <w:spacing w:before="0" w:after="0" w:line="276" w:lineRule="auto"/>
            </w:pPr>
            <w:r>
              <w:rPr>
                <w:rFonts w:ascii="Calibri" w:hAnsi="Calibri"/>
                <w:color w:val="17131D"/>
                <w:sz w:val="20"/>
              </w:rPr>
              <w:t>Measures useful service delivered per unit of energy, water, time, material, maintenance, and public cost - without sacrificing reliability or safety.</w:t>
            </w:r>
          </w:p>
        </w:tc>
      </w:tr>
    </w:tbl>
    <w:p>
      <w:pPr>
        <w:keepNext w:val="0"/>
        <w:keepLines w:val="0"/>
        <w:spacing w:before="0" w:after="20" w:line="240" w:lineRule="auto"/>
      </w:pPr>
    </w:p>
    <w:tbl>
      <w:tblPr>
        <w:tblW w:type="dxa" w:w="9360"/>
        <w:jc w:val="left"/>
        <w:tblLayout w:type="fixed"/>
        <w:tblLook w:firstColumn="1" w:firstRow="1" w:lastColumn="0" w:lastRow="0" w:noHBand="0" w:noVBand="1" w:val="04A0"/>
        <w:tblInd w:w="120" w:type="dxa"/>
      </w:tblPr>
      <w:tblGrid>
        <w:gridCol w:w="1600"/>
        <w:gridCol w:w="7760"/>
      </w:tblGrid>
      <w:tr>
        <w:tc>
          <w:tcPr>
            <w:tcW w:type="dxa" w:w="1600"/>
            <w:tcMar>
              <w:top w:w="100" w:type="dxa"/>
              <w:start w:w="140" w:type="dxa"/>
              <w:bottom w:w="100" w:type="dxa"/>
              <w:end w:w="140" w:type="dxa"/>
            </w:tcMar>
            <w:shd w:fill="210D31"/>
            <w:tcBorders>
              <w:top w:val="single" w:sz="6" w:space="0" w:color="D9D0DC"/>
              <w:start w:val="single" w:sz="6" w:space="0" w:color="D9D0DC"/>
              <w:bottom w:val="single" w:sz="6" w:space="0" w:color="D9D0DC"/>
              <w:end w:val="single" w:sz="6" w:space="0" w:color="D9D0DC"/>
            </w:tcBorders>
            <w:vAlign w:val="center"/>
          </w:tcPr>
          <w:p>
            <w:pPr>
              <w:keepNext w:val="0"/>
              <w:keepLines w:val="0"/>
              <w:spacing w:before="0" w:after="0" w:line="240" w:lineRule="auto"/>
              <w:jc w:val="center"/>
            </w:pPr>
            <w:r>
              <w:rPr>
                <w:rFonts w:ascii="Calibri" w:hAnsi="Calibri"/>
                <w:b/>
                <w:color w:val="EFD696"/>
                <w:sz w:val="30"/>
              </w:rPr>
              <w:t>DCI</w:t>
            </w:r>
          </w:p>
        </w:tc>
        <w:tc>
          <w:tcPr>
            <w:tcW w:type="dxa" w:w="7760"/>
            <w:tcMar>
              <w:top w:w="100" w:type="dxa"/>
              <w:start w:w="140" w:type="dxa"/>
              <w:bottom w:w="100" w:type="dxa"/>
              <w:end w:w="140" w:type="dxa"/>
            </w:tcMar>
            <w:shd w:fill="F8F5EE"/>
            <w:tcBorders>
              <w:top w:val="single" w:sz="6" w:space="0" w:color="D9D0DC"/>
              <w:start w:val="single" w:sz="6" w:space="0" w:color="D9D0DC"/>
              <w:bottom w:val="single" w:sz="6" w:space="0" w:color="D9D0DC"/>
              <w:end w:val="single" w:sz="6" w:space="0" w:color="D9D0DC"/>
            </w:tcBorders>
            <w:vAlign w:val="center"/>
          </w:tcPr>
          <w:p>
            <w:pPr>
              <w:keepNext w:val="0"/>
              <w:keepLines w:val="0"/>
              <w:spacing w:before="0" w:after="40" w:line="240" w:lineRule="auto"/>
            </w:pPr>
            <w:r>
              <w:rPr>
                <w:rFonts w:ascii="Calibri" w:hAnsi="Calibri"/>
                <w:b/>
                <w:color w:val="4E176F"/>
                <w:sz w:val="22"/>
              </w:rPr>
              <w:t>Dependency Contraction Index</w:t>
            </w:r>
          </w:p>
          <w:p>
            <w:pPr>
              <w:keepNext w:val="0"/>
              <w:keepLines w:val="0"/>
              <w:spacing w:before="0" w:after="0" w:line="276" w:lineRule="auto"/>
            </w:pPr>
            <w:r>
              <w:rPr>
                <w:rFonts w:ascii="Calibri" w:hAnsi="Calibri"/>
                <w:color w:val="17131D"/>
                <w:sz w:val="20"/>
              </w:rPr>
              <w:t>Tracks verified movement from recurring emergency support or harmful debt into stable income, skills, savings, ownership, and voluntary interdependence.</w:t>
            </w:r>
          </w:p>
        </w:tc>
      </w:tr>
    </w:tbl>
    <w:p>
      <w:pPr>
        <w:keepNext w:val="0"/>
        <w:keepLines w:val="0"/>
        <w:spacing w:before="0" w:after="20" w:line="240" w:lineRule="auto"/>
      </w:pPr>
    </w:p>
    <w:p>
      <w:pPr>
        <w:pStyle w:val="Heading2"/>
      </w:pPr>
      <w:r>
        <w:t>The organic loop of productive price reduction</w:t>
      </w:r>
    </w:p>
    <w:p>
      <w:pPr>
        <w:keepNext/>
        <w:keepLines w:val="0"/>
        <w:spacing w:before="40" w:after="40" w:line="240" w:lineRule="auto"/>
      </w:pPr>
      <w:r>
        <w:rPr>
          <w:rFonts w:ascii="Calibri" w:hAnsi="Calibri"/>
          <w:b/>
          <w:color w:val="4E176F"/>
          <w:sz w:val="23"/>
        </w:rPr>
        <w:t>01  Upgrade the real system</w:t>
      </w:r>
    </w:p>
    <w:p>
      <w:pPr>
        <w:keepNext w:val="0"/>
        <w:keepLines w:val="0"/>
        <w:spacing w:before="0" w:after="140" w:line="288" w:lineRule="auto"/>
        <w:ind w:left="547"/>
      </w:pPr>
      <w:r>
        <w:rPr>
          <w:rFonts w:ascii="Calibri" w:hAnsi="Calibri"/>
          <w:color w:val="17131D"/>
          <w:sz w:val="20"/>
        </w:rPr>
        <w:t>Modernize energy, water, transportation, food, communications, housing production, and workforce capability.</w:t>
      </w:r>
    </w:p>
    <w:p>
      <w:pPr>
        <w:keepNext/>
        <w:keepLines w:val="0"/>
        <w:spacing w:before="40" w:after="40" w:line="240" w:lineRule="auto"/>
      </w:pPr>
      <w:r>
        <w:rPr>
          <w:rFonts w:ascii="Calibri" w:hAnsi="Calibri"/>
          <w:b/>
          <w:color w:val="4E176F"/>
          <w:sz w:val="23"/>
        </w:rPr>
        <w:t>02  Remove friction</w:t>
      </w:r>
    </w:p>
    <w:p>
      <w:pPr>
        <w:keepNext w:val="0"/>
        <w:keepLines w:val="0"/>
        <w:spacing w:before="0" w:after="140" w:line="288" w:lineRule="auto"/>
        <w:ind w:left="547"/>
      </w:pPr>
      <w:r>
        <w:rPr>
          <w:rFonts w:ascii="Calibri" w:hAnsi="Calibri"/>
          <w:color w:val="17131D"/>
          <w:sz w:val="20"/>
        </w:rPr>
        <w:t>Reduce waste, delay, breakdowns, preventable illness, avoidable financing costs, and duplicated administration.</w:t>
      </w:r>
    </w:p>
    <w:p>
      <w:pPr>
        <w:keepNext/>
        <w:keepLines w:val="0"/>
        <w:spacing w:before="40" w:after="40" w:line="240" w:lineRule="auto"/>
      </w:pPr>
      <w:r>
        <w:rPr>
          <w:rFonts w:ascii="Calibri" w:hAnsi="Calibri"/>
          <w:b/>
          <w:color w:val="4E176F"/>
          <w:sz w:val="23"/>
        </w:rPr>
        <w:t>03  Lower unit costs</w:t>
      </w:r>
    </w:p>
    <w:p>
      <w:pPr>
        <w:keepNext w:val="0"/>
        <w:keepLines w:val="0"/>
        <w:spacing w:before="0" w:after="140" w:line="288" w:lineRule="auto"/>
        <w:ind w:left="547"/>
      </w:pPr>
      <w:r>
        <w:rPr>
          <w:rFonts w:ascii="Calibri" w:hAnsi="Calibri"/>
          <w:color w:val="17131D"/>
          <w:sz w:val="20"/>
        </w:rPr>
        <w:t>Produce more useful output with fewer recurring inputs while maintaining wages, safety, access, and reliability.</w:t>
      </w:r>
    </w:p>
    <w:p>
      <w:pPr>
        <w:keepNext/>
        <w:keepLines w:val="0"/>
        <w:spacing w:before="40" w:after="40" w:line="240" w:lineRule="auto"/>
      </w:pPr>
      <w:r>
        <w:rPr>
          <w:rFonts w:ascii="Calibri" w:hAnsi="Calibri"/>
          <w:b/>
          <w:color w:val="4E176F"/>
          <w:sz w:val="23"/>
        </w:rPr>
        <w:t>04  Pass savings through</w:t>
      </w:r>
    </w:p>
    <w:p>
      <w:pPr>
        <w:keepNext w:val="0"/>
        <w:keepLines w:val="0"/>
        <w:spacing w:before="0" w:after="140" w:line="288" w:lineRule="auto"/>
        <w:ind w:left="547"/>
      </w:pPr>
      <w:r>
        <w:rPr>
          <w:rFonts w:ascii="Calibri" w:hAnsi="Calibri"/>
          <w:color w:val="17131D"/>
          <w:sz w:val="20"/>
        </w:rPr>
        <w:t>Use competition, transparent contracts, audits, and clawbacks so productivity gains reach households rather than disappearing into monopoly rents.</w:t>
      </w:r>
    </w:p>
    <w:p>
      <w:pPr>
        <w:keepNext/>
        <w:keepLines w:val="0"/>
        <w:spacing w:before="40" w:after="40" w:line="240" w:lineRule="auto"/>
      </w:pPr>
      <w:r>
        <w:rPr>
          <w:rFonts w:ascii="Calibri" w:hAnsi="Calibri"/>
          <w:b/>
          <w:color w:val="4E176F"/>
          <w:sz w:val="23"/>
        </w:rPr>
        <w:t>05  Expand household surplus</w:t>
      </w:r>
    </w:p>
    <w:p>
      <w:pPr>
        <w:keepNext w:val="0"/>
        <w:keepLines w:val="0"/>
        <w:spacing w:before="0" w:after="140" w:line="288" w:lineRule="auto"/>
        <w:ind w:left="547"/>
      </w:pPr>
      <w:r>
        <w:rPr>
          <w:rFonts w:ascii="Calibri" w:hAnsi="Calibri"/>
          <w:color w:val="17131D"/>
          <w:sz w:val="20"/>
        </w:rPr>
        <w:t>Allow families to save, acquire tools and assets, give voluntarily, withstand shocks, and rely less on recurring rescue.</w:t>
      </w:r>
    </w:p>
    <w:p>
      <w:pPr>
        <w:pStyle w:val="Heading2"/>
      </w:pPr>
      <w:r>
        <w:t>Healthy price contraction has conditions</w:t>
      </w:r>
    </w:p>
    <w:p>
      <w:pPr>
        <w:keepNext w:val="0"/>
        <w:keepLines w:val="0"/>
        <w:spacing w:before="0" w:after="160" w:line="320" w:lineRule="auto"/>
        <w:jc w:val="both"/>
      </w:pPr>
      <w:r>
        <w:rPr>
          <w:rFonts w:ascii="Calibri" w:hAnsi="Calibri"/>
          <w:i w:val="0"/>
          <w:color w:val="17131D"/>
          <w:sz w:val="22"/>
        </w:rPr>
        <w:t>The word deflation can describe very different realities. Prices may fall because technology and productivity reduce costs; they may also fall because demand collapses, credit freezes, businesses fail, and unemployment rises. The Purple Way can claim success only in the first case: useful output and access remain strong while real unit costs fall.</w:t>
      </w:r>
    </w:p>
    <w:p>
      <w:pPr>
        <w:keepNext w:val="0"/>
        <w:keepLines w:val="0"/>
        <w:numPr>
          <w:ilvl w:val="0"/>
          <w:numId w:val="90"/>
        </w:numPr>
        <w:spacing w:before="0" w:after="80" w:line="290" w:lineRule="auto"/>
        <w:ind w:left="540" w:hanging="279"/>
      </w:pPr>
      <w:r>
        <w:rPr>
          <w:rFonts w:ascii="Calibri" w:hAnsi="Calibri"/>
          <w:color w:val="17131D"/>
          <w:sz w:val="22"/>
        </w:rPr>
        <w:t>No target may be achieved through engineered scarcity, mass unemployment, unsafe wage compression, or denial of useful credit.</w:t>
      </w:r>
    </w:p>
    <w:p>
      <w:pPr>
        <w:keepNext w:val="0"/>
        <w:keepLines w:val="0"/>
        <w:numPr>
          <w:ilvl w:val="0"/>
          <w:numId w:val="90"/>
        </w:numPr>
        <w:spacing w:before="0" w:after="80" w:line="290" w:lineRule="auto"/>
        <w:ind w:left="540" w:hanging="279"/>
      </w:pPr>
      <w:r>
        <w:rPr>
          <w:rFonts w:ascii="Calibri" w:hAnsi="Calibri"/>
          <w:color w:val="17131D"/>
          <w:sz w:val="22"/>
        </w:rPr>
        <w:t>Farmers, workers, contractors, and essential suppliers must remain capable of operating safely and profitably.</w:t>
      </w:r>
    </w:p>
    <w:p>
      <w:pPr>
        <w:keepNext w:val="0"/>
        <w:keepLines w:val="0"/>
        <w:numPr>
          <w:ilvl w:val="0"/>
          <w:numId w:val="90"/>
        </w:numPr>
        <w:spacing w:before="0" w:after="80" w:line="290" w:lineRule="auto"/>
        <w:ind w:left="540" w:hanging="279"/>
      </w:pPr>
      <w:r>
        <w:rPr>
          <w:rFonts w:ascii="Calibri" w:hAnsi="Calibri"/>
          <w:color w:val="17131D"/>
          <w:sz w:val="22"/>
        </w:rPr>
        <w:t>Household savings must be measured after quality, access, taxes, fees, insurance, and financing costs - not through a selective headline price.</w:t>
      </w:r>
    </w:p>
    <w:p>
      <w:pPr>
        <w:keepNext w:val="0"/>
        <w:keepLines w:val="0"/>
        <w:numPr>
          <w:ilvl w:val="0"/>
          <w:numId w:val="90"/>
        </w:numPr>
        <w:spacing w:before="0" w:after="80" w:line="290" w:lineRule="auto"/>
        <w:ind w:left="540" w:hanging="279"/>
      </w:pPr>
      <w:r>
        <w:rPr>
          <w:rFonts w:ascii="Calibri" w:hAnsi="Calibri"/>
          <w:color w:val="17131D"/>
          <w:sz w:val="22"/>
        </w:rPr>
        <w:t>Contraction must pause when employment, production, credit access, bank stability, or vulnerable households materially deteriorate.</w:t>
      </w:r>
    </w:p>
    <w:p>
      <w:r>
        <w:br w:type="page"/>
      </w:r>
    </w:p>
    <w:p>
      <w:pPr>
        <w:keepNext/>
        <w:keepLines w:val="0"/>
        <w:spacing w:before="160" w:after="240" w:line="240" w:lineRule="auto"/>
      </w:pPr>
      <w:r>
        <w:rPr>
          <w:rFonts w:ascii="Calibri" w:hAnsi="Calibri"/>
          <w:b/>
          <w:caps/>
          <w:color w:val="D8AE55"/>
          <w:sz w:val="19"/>
        </w:rPr>
        <w:t>CHAPTER 03</w:t>
      </w:r>
    </w:p>
    <w:p>
      <w:pPr>
        <w:keepNext/>
        <w:keepLines w:val="0"/>
        <w:spacing w:before="0" w:after="200" w:line="240" w:lineRule="auto"/>
      </w:pPr>
      <w:r>
        <w:rPr>
          <w:rFonts w:ascii="Georgia" w:hAnsi="Georgia"/>
          <w:color w:val="210D31"/>
          <w:sz w:val="54"/>
        </w:rPr>
        <w:t>Productive Credit vs. the Debt Trap</w:t>
      </w:r>
    </w:p>
    <w:p>
      <w:pPr>
        <w:keepNext w:val="0"/>
        <w:keepLines w:val="0"/>
        <w:spacing w:before="0" w:after="480" w:line="288" w:lineRule="auto"/>
      </w:pPr>
      <w:r>
        <w:rPr>
          <w:rFonts w:ascii="Calibri" w:hAnsi="Calibri"/>
          <w:i/>
          <w:color w:val="6C2D8D"/>
          <w:sz w:val="26"/>
        </w:rPr>
        <w:t>Credit should leave behind greater earning power, productive capacity, and ownership - not merely a longer claim on future labor.</w:t>
      </w:r>
    </w:p>
    <w:p>
      <w:pPr>
        <w:keepNext w:val="0"/>
        <w:keepLines w:val="0"/>
        <w:spacing w:before="0" w:after="160" w:line="320" w:lineRule="auto"/>
        <w:jc w:val="both"/>
      </w:pPr>
      <w:r>
        <w:rPr>
          <w:rFonts w:ascii="Calibri" w:hAnsi="Calibri"/>
          <w:i w:val="0"/>
          <w:color w:val="17131D"/>
          <w:sz w:val="22"/>
        </w:rPr>
        <w:t>Bank credit is not inherently harmful. Mortgages can finance homes, business loans can expand production, and carefully underwritten consumer credit can bridge time and opportunity. The Purple objection is to a system in which too much credit finances consumption, speculation, emergency survival, or inflated assets without increasing the borrower's durable capacity to repay and prosper.</w:t>
      </w:r>
    </w:p>
    <w:p>
      <w:pPr>
        <w:keepNext w:val="0"/>
        <w:keepLines w:val="0"/>
        <w:spacing w:before="0" w:after="160" w:line="320" w:lineRule="auto"/>
        <w:jc w:val="both"/>
      </w:pPr>
      <w:r>
        <w:rPr>
          <w:rFonts w:ascii="Calibri" w:hAnsi="Calibri"/>
          <w:i w:val="0"/>
          <w:color w:val="17131D"/>
          <w:sz w:val="22"/>
        </w:rPr>
        <w:t>Commercial-bank lending can create new deposits. That fact does not mean every loan is 'unbacked' or that banks operate without capital, liquidity, underwriting, collateral, regulation, or loss risk. A credible Purple reform must begin with accurate banking mechanics and protect the payments system, deposits, sound lending, and financial stability.</w:t>
      </w:r>
    </w:p>
    <w:p>
      <w:pPr>
        <w:pStyle w:val="Heading2"/>
      </w:pPr>
      <w:r>
        <w:t>What productive credit builds</w:t>
      </w:r>
    </w:p>
    <w:p>
      <w:pPr>
        <w:keepNext w:val="0"/>
        <w:keepLines w:val="0"/>
        <w:numPr>
          <w:ilvl w:val="0"/>
          <w:numId w:val="90"/>
        </w:numPr>
        <w:spacing w:before="0" w:after="80" w:line="290" w:lineRule="auto"/>
        <w:ind w:left="540" w:hanging="279"/>
      </w:pPr>
      <w:r>
        <w:rPr>
          <w:rFonts w:ascii="Calibri" w:hAnsi="Calibri"/>
          <w:b/>
          <w:color w:val="17131D"/>
          <w:sz w:val="22"/>
        </w:rPr>
        <w:t>Skill acquisition.</w:t>
      </w:r>
      <w:r>
        <w:rPr>
          <w:rFonts w:ascii="Calibri" w:hAnsi="Calibri"/>
          <w:color w:val="17131D"/>
          <w:sz w:val="22"/>
        </w:rPr>
        <w:t xml:space="preserve"> Tuition, supervised training, apprenticeships, certifications, and learning time tied to verified labor-market or enterprise capability.</w:t>
      </w:r>
    </w:p>
    <w:p>
      <w:pPr>
        <w:keepNext w:val="0"/>
        <w:keepLines w:val="0"/>
        <w:numPr>
          <w:ilvl w:val="0"/>
          <w:numId w:val="90"/>
        </w:numPr>
        <w:spacing w:before="0" w:after="80" w:line="290" w:lineRule="auto"/>
        <w:ind w:left="540" w:hanging="279"/>
      </w:pPr>
      <w:r>
        <w:rPr>
          <w:rFonts w:ascii="Calibri" w:hAnsi="Calibri"/>
          <w:b/>
          <w:color w:val="17131D"/>
          <w:sz w:val="22"/>
        </w:rPr>
        <w:t>Tool ownership.</w:t>
      </w:r>
      <w:r>
        <w:rPr>
          <w:rFonts w:ascii="Calibri" w:hAnsi="Calibri"/>
          <w:color w:val="17131D"/>
          <w:sz w:val="22"/>
        </w:rPr>
        <w:t xml:space="preserve"> Equipment, software, vehicles, workspace, machinery, and licenses that allow a person to produce and own value.</w:t>
      </w:r>
    </w:p>
    <w:p>
      <w:pPr>
        <w:keepNext w:val="0"/>
        <w:keepLines w:val="0"/>
        <w:numPr>
          <w:ilvl w:val="0"/>
          <w:numId w:val="90"/>
        </w:numPr>
        <w:spacing w:before="0" w:after="80" w:line="290" w:lineRule="auto"/>
        <w:ind w:left="540" w:hanging="279"/>
      </w:pPr>
      <w:r>
        <w:rPr>
          <w:rFonts w:ascii="Calibri" w:hAnsi="Calibri"/>
          <w:b/>
          <w:color w:val="17131D"/>
          <w:sz w:val="22"/>
        </w:rPr>
        <w:t>Local production.</w:t>
      </w:r>
      <w:r>
        <w:rPr>
          <w:rFonts w:ascii="Calibri" w:hAnsi="Calibri"/>
          <w:color w:val="17131D"/>
          <w:sz w:val="22"/>
        </w:rPr>
        <w:t xml:space="preserve"> Small farms, shops, repair capacity, energy systems, housing methods, healthcare access, and resilient supply chains.</w:t>
      </w:r>
    </w:p>
    <w:p>
      <w:pPr>
        <w:keepNext w:val="0"/>
        <w:keepLines w:val="0"/>
        <w:numPr>
          <w:ilvl w:val="0"/>
          <w:numId w:val="90"/>
        </w:numPr>
        <w:spacing w:before="0" w:after="80" w:line="290" w:lineRule="auto"/>
        <w:ind w:left="540" w:hanging="279"/>
      </w:pPr>
      <w:r>
        <w:rPr>
          <w:rFonts w:ascii="Calibri" w:hAnsi="Calibri"/>
          <w:b/>
          <w:color w:val="17131D"/>
          <w:sz w:val="22"/>
        </w:rPr>
        <w:t>Transition capital.</w:t>
      </w:r>
      <w:r>
        <w:rPr>
          <w:rFonts w:ascii="Calibri" w:hAnsi="Calibri"/>
          <w:color w:val="17131D"/>
          <w:sz w:val="22"/>
        </w:rPr>
        <w:t xml:space="preserve"> Short, transparent support that bridges a person from dependence or low productivity into stable production and ownership.</w:t>
      </w:r>
    </w:p>
    <w:p>
      <w:pPr>
        <w:pStyle w:val="Heading2"/>
      </w:pPr>
      <w:r>
        <w:t>The Capacity Growth Profile</w:t>
      </w:r>
    </w:p>
    <w:p>
      <w:pPr>
        <w:keepNext w:val="0"/>
        <w:keepLines w:val="0"/>
        <w:spacing w:before="0" w:after="160" w:line="320" w:lineRule="auto"/>
        <w:jc w:val="both"/>
      </w:pPr>
      <w:r>
        <w:rPr>
          <w:rFonts w:ascii="Calibri" w:hAnsi="Calibri"/>
          <w:i w:val="0"/>
          <w:color w:val="17131D"/>
          <w:sz w:val="22"/>
        </w:rPr>
        <w:t>The Purple Way proposes supplementing traditional underwriting with a Capacity Growth Profile. Such a profile could consider verified training progress, work history, business plans, mentorship, tool use, market demand, completion milestones, and cash-flow capacity. It must never become a social-credit score, ideological test, biometric surveillance system, or permanent label.</w:t>
      </w:r>
    </w:p>
    <w:p>
      <w:pPr>
        <w:keepNext w:val="0"/>
        <w:keepLines w:val="0"/>
        <w:numPr>
          <w:ilvl w:val="0"/>
          <w:numId w:val="90"/>
        </w:numPr>
        <w:spacing w:before="0" w:after="80" w:line="290" w:lineRule="auto"/>
        <w:ind w:left="540" w:hanging="279"/>
      </w:pPr>
      <w:r>
        <w:rPr>
          <w:rFonts w:ascii="Calibri" w:hAnsi="Calibri"/>
          <w:color w:val="17131D"/>
          <w:sz w:val="22"/>
        </w:rPr>
        <w:t>Participation must be voluntary and understandable.</w:t>
      </w:r>
    </w:p>
    <w:p>
      <w:pPr>
        <w:keepNext w:val="0"/>
        <w:keepLines w:val="0"/>
        <w:numPr>
          <w:ilvl w:val="0"/>
          <w:numId w:val="90"/>
        </w:numPr>
        <w:spacing w:before="0" w:after="80" w:line="290" w:lineRule="auto"/>
        <w:ind w:left="540" w:hanging="279"/>
      </w:pPr>
      <w:r>
        <w:rPr>
          <w:rFonts w:ascii="Calibri" w:hAnsi="Calibri"/>
          <w:color w:val="17131D"/>
          <w:sz w:val="22"/>
        </w:rPr>
        <w:t>Data collection must be minimal, purpose-limited, secure, portable, and correctable.</w:t>
      </w:r>
    </w:p>
    <w:p>
      <w:pPr>
        <w:keepNext w:val="0"/>
        <w:keepLines w:val="0"/>
        <w:numPr>
          <w:ilvl w:val="0"/>
          <w:numId w:val="90"/>
        </w:numPr>
        <w:spacing w:before="0" w:after="80" w:line="290" w:lineRule="auto"/>
        <w:ind w:left="540" w:hanging="279"/>
      </w:pPr>
      <w:r>
        <w:rPr>
          <w:rFonts w:ascii="Calibri" w:hAnsi="Calibri"/>
          <w:color w:val="17131D"/>
          <w:sz w:val="22"/>
        </w:rPr>
        <w:t>Applicants must receive explanations, appeal rights, human review, and protection from discrimination.</w:t>
      </w:r>
    </w:p>
    <w:p>
      <w:pPr>
        <w:keepNext w:val="0"/>
        <w:keepLines w:val="0"/>
        <w:numPr>
          <w:ilvl w:val="0"/>
          <w:numId w:val="90"/>
        </w:numPr>
        <w:spacing w:before="0" w:after="80" w:line="290" w:lineRule="auto"/>
        <w:ind w:left="540" w:hanging="279"/>
      </w:pPr>
      <w:r>
        <w:rPr>
          <w:rFonts w:ascii="Calibri" w:hAnsi="Calibri"/>
          <w:color w:val="17131D"/>
          <w:sz w:val="22"/>
        </w:rPr>
        <w:t>Public support must not erase private competition or channel capital to politically favored intermediaries.</w:t>
      </w:r>
    </w:p>
    <w:p>
      <w:pPr>
        <w:keepNext w:val="0"/>
        <w:keepLines w:val="0"/>
        <w:numPr>
          <w:ilvl w:val="0"/>
          <w:numId w:val="90"/>
        </w:numPr>
        <w:spacing w:before="0" w:after="80" w:line="290" w:lineRule="auto"/>
        <w:ind w:left="540" w:hanging="279"/>
      </w:pPr>
      <w:r>
        <w:rPr>
          <w:rFonts w:ascii="Calibri" w:hAnsi="Calibri"/>
          <w:color w:val="17131D"/>
          <w:sz w:val="22"/>
        </w:rPr>
        <w:t>Losses, defaults, and unequal outcomes must be published honestly rather than hidden in a success narrative.</w:t>
      </w:r>
    </w:p>
    <w:p>
      <w:pPr>
        <w:pStyle w:val="Heading2"/>
      </w:pPr>
      <w:r>
        <w:t>From borrower to owner</w:t>
      </w:r>
    </w:p>
    <w:p>
      <w:pPr>
        <w:keepNext w:val="0"/>
        <w:keepLines w:val="0"/>
        <w:spacing w:before="0" w:after="160" w:line="320" w:lineRule="auto"/>
        <w:jc w:val="both"/>
      </w:pPr>
      <w:r>
        <w:rPr>
          <w:rFonts w:ascii="Calibri" w:hAnsi="Calibri"/>
          <w:i w:val="0"/>
          <w:color w:val="17131D"/>
          <w:sz w:val="22"/>
        </w:rPr>
        <w:t>The intended journey is straightforward: temporary credit finances a productive capability; the capability generates income or useful output; repayment reduces the claim on future labor; retained surplus builds savings; savings purchase assets; and the person gradually gains more choice over work, time, risk, and contribution.</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shd w:fill="F1EAF5"/>
            <w:tcBorders>
              <w:top w:val="nil"/>
              <w:start w:val="single" w:sz="18" w:space="0" w:color="4E176F"/>
              <w:bottom w:val="nil"/>
              <w:end w:val="nil"/>
            </w:tcBorders>
            <w:vAlign w:val="center"/>
          </w:tcPr>
          <w:p>
            <w:pPr>
              <w:keepNext/>
              <w:keepLines w:val="0"/>
              <w:spacing w:before="0" w:after="60" w:line="240" w:lineRule="auto"/>
            </w:pPr>
            <w:r>
              <w:rPr>
                <w:rFonts w:ascii="Calibri" w:hAnsi="Calibri"/>
                <w:b/>
                <w:caps/>
                <w:color w:val="4E176F"/>
                <w:sz w:val="17"/>
              </w:rPr>
              <w:t>THE CREDIT TEST</w:t>
            </w:r>
          </w:p>
          <w:p>
            <w:pPr>
              <w:keepNext w:val="0"/>
              <w:keepLines w:val="0"/>
              <w:spacing w:before="0" w:after="0" w:line="288" w:lineRule="auto"/>
            </w:pPr>
            <w:r>
              <w:rPr>
                <w:rFonts w:ascii="Calibri" w:hAnsi="Calibri"/>
                <w:b/>
                <w:color w:val="17131D"/>
                <w:sz w:val="23"/>
              </w:rPr>
              <w:t>After the loan is repaid, what remains with the person? If the answer is only a receipt and another payment, the credit did not build enough. If the answer is skill, tools, customers, cash flow, equity, and choice, the credit became productive capital.</w:t>
            </w:r>
          </w:p>
        </w:tc>
      </w:tr>
    </w:tbl>
    <w:p>
      <w:pPr>
        <w:keepNext w:val="0"/>
        <w:keepLines w:val="0"/>
        <w:spacing w:before="0" w:after="60" w:line="240" w:lineRule="auto"/>
      </w:pPr>
    </w:p>
    <w:p>
      <w:r>
        <w:br w:type="page"/>
      </w:r>
    </w:p>
    <w:p>
      <w:pPr>
        <w:keepNext/>
        <w:keepLines w:val="0"/>
        <w:spacing w:before="160" w:after="240" w:line="240" w:lineRule="auto"/>
      </w:pPr>
      <w:r>
        <w:rPr>
          <w:rFonts w:ascii="Calibri" w:hAnsi="Calibri"/>
          <w:b/>
          <w:caps/>
          <w:color w:val="D8AE55"/>
          <w:sz w:val="19"/>
        </w:rPr>
        <w:t>CHAPTER 04</w:t>
      </w:r>
    </w:p>
    <w:p>
      <w:pPr>
        <w:keepNext/>
        <w:keepLines w:val="0"/>
        <w:spacing w:before="0" w:after="200" w:line="240" w:lineRule="auto"/>
      </w:pPr>
      <w:r>
        <w:rPr>
          <w:rFonts w:ascii="Georgia" w:hAnsi="Georgia"/>
          <w:color w:val="210D31"/>
          <w:sz w:val="54"/>
        </w:rPr>
        <w:t>Breaking the Dependency Engine</w:t>
      </w:r>
    </w:p>
    <w:p>
      <w:pPr>
        <w:keepNext w:val="0"/>
        <w:keepLines w:val="0"/>
        <w:spacing w:before="0" w:after="480" w:line="288" w:lineRule="auto"/>
      </w:pPr>
      <w:r>
        <w:rPr>
          <w:rFonts w:ascii="Calibri" w:hAnsi="Calibri"/>
          <w:i/>
          <w:color w:val="6C2D8D"/>
          <w:sz w:val="26"/>
        </w:rPr>
        <w:t>Independence is not abandonment. The Purple path protects people now while deliberately building the power they can carry forward.</w:t>
      </w:r>
    </w:p>
    <w:p>
      <w:pPr>
        <w:keepNext w:val="0"/>
        <w:keepLines w:val="0"/>
        <w:spacing w:before="0" w:after="160" w:line="320" w:lineRule="auto"/>
        <w:jc w:val="both"/>
      </w:pPr>
      <w:r>
        <w:rPr>
          <w:rFonts w:ascii="Calibri" w:hAnsi="Calibri"/>
          <w:i w:val="0"/>
          <w:color w:val="17131D"/>
          <w:sz w:val="22"/>
        </w:rPr>
        <w:t>The establishment often argues about how much support to provide without agreeing on the destination of support. The Blue tradition is frequently stronger at immediate protection; the Red tradition is frequently stronger at formal liberty and private initiative. The Purple Way asks both sides to complete the work: protect the person from collapse, then build the capability needed to use freedom in practice.</w:t>
      </w:r>
    </w:p>
    <w:p>
      <w:pPr>
        <w:keepNext w:val="0"/>
        <w:keepLines w:val="0"/>
        <w:spacing w:before="0" w:after="160" w:line="320" w:lineRule="auto"/>
        <w:jc w:val="both"/>
      </w:pPr>
      <w:r>
        <w:rPr>
          <w:rFonts w:ascii="Calibri" w:hAnsi="Calibri"/>
          <w:i w:val="0"/>
          <w:color w:val="17131D"/>
          <w:sz w:val="22"/>
        </w:rPr>
        <w:t>A humane system must recognize disability, age, illness, caregiving, trauma, regional decline, discrimination, and emergencies. Not every person will move through the pathway at the same pace, and some people will always require dependable support. The Dependency Contraction Index must never punish the vulnerable, pressure people into unsafe work, or manufacture numerical success by removing assistance before stability exists.</w:t>
      </w:r>
    </w:p>
    <w:p>
      <w:pPr>
        <w:pStyle w:val="Heading2"/>
      </w:pPr>
      <w:r>
        <w:t>The capability pathway</w:t>
      </w:r>
    </w:p>
    <w:p>
      <w:pPr>
        <w:keepNext/>
        <w:keepLines w:val="0"/>
        <w:spacing w:before="20" w:after="20" w:line="240" w:lineRule="auto"/>
      </w:pPr>
      <w:r>
        <w:rPr>
          <w:rFonts w:ascii="Calibri" w:hAnsi="Calibri"/>
          <w:b/>
          <w:color w:val="4E176F"/>
          <w:sz w:val="22"/>
        </w:rPr>
        <w:t>1. Protection</w:t>
      </w:r>
    </w:p>
    <w:p>
      <w:pPr>
        <w:keepNext w:val="0"/>
        <w:keepLines w:val="0"/>
        <w:spacing w:before="0" w:after="100" w:line="276" w:lineRule="auto"/>
        <w:ind w:left="360"/>
      </w:pPr>
      <w:r>
        <w:rPr>
          <w:rFonts w:ascii="Calibri" w:hAnsi="Calibri"/>
          <w:color w:val="17131D"/>
          <w:sz w:val="20"/>
        </w:rPr>
        <w:t>Stop immediate harm and preserve food, shelter, healthcare, safety, and legal rights.</w:t>
      </w:r>
    </w:p>
    <w:p>
      <w:pPr>
        <w:keepNext/>
        <w:keepLines w:val="0"/>
        <w:spacing w:before="20" w:after="20" w:line="240" w:lineRule="auto"/>
      </w:pPr>
      <w:r>
        <w:rPr>
          <w:rFonts w:ascii="Calibri" w:hAnsi="Calibri"/>
          <w:b/>
          <w:color w:val="4E176F"/>
          <w:sz w:val="22"/>
        </w:rPr>
        <w:t>2. Preparation</w:t>
      </w:r>
    </w:p>
    <w:p>
      <w:pPr>
        <w:keepNext w:val="0"/>
        <w:keepLines w:val="0"/>
        <w:spacing w:before="0" w:after="100" w:line="276" w:lineRule="auto"/>
        <w:ind w:left="360"/>
      </w:pPr>
      <w:r>
        <w:rPr>
          <w:rFonts w:ascii="Calibri" w:hAnsi="Calibri"/>
          <w:color w:val="17131D"/>
          <w:sz w:val="20"/>
        </w:rPr>
        <w:t>Build health, literacy, financial judgment, technical skill, confidence, and a realistic plan.</w:t>
      </w:r>
    </w:p>
    <w:p>
      <w:pPr>
        <w:keepNext/>
        <w:keepLines w:val="0"/>
        <w:spacing w:before="20" w:after="20" w:line="240" w:lineRule="auto"/>
      </w:pPr>
      <w:r>
        <w:rPr>
          <w:rFonts w:ascii="Calibri" w:hAnsi="Calibri"/>
          <w:b/>
          <w:color w:val="4E176F"/>
          <w:sz w:val="22"/>
        </w:rPr>
        <w:t>3. Opportunity</w:t>
      </w:r>
    </w:p>
    <w:p>
      <w:pPr>
        <w:keepNext w:val="0"/>
        <w:keepLines w:val="0"/>
        <w:spacing w:before="0" w:after="100" w:line="276" w:lineRule="auto"/>
        <w:ind w:left="360"/>
      </w:pPr>
      <w:r>
        <w:rPr>
          <w:rFonts w:ascii="Calibri" w:hAnsi="Calibri"/>
          <w:color w:val="17131D"/>
          <w:sz w:val="20"/>
        </w:rPr>
        <w:t>Open access to mentors, markets, productive credit, networks, transportation, and fair competition.</w:t>
      </w:r>
    </w:p>
    <w:p>
      <w:pPr>
        <w:keepNext/>
        <w:keepLines w:val="0"/>
        <w:spacing w:before="20" w:after="20" w:line="240" w:lineRule="auto"/>
      </w:pPr>
      <w:r>
        <w:rPr>
          <w:rFonts w:ascii="Calibri" w:hAnsi="Calibri"/>
          <w:b/>
          <w:color w:val="4E176F"/>
          <w:sz w:val="22"/>
        </w:rPr>
        <w:t>4. Production</w:t>
      </w:r>
    </w:p>
    <w:p>
      <w:pPr>
        <w:keepNext w:val="0"/>
        <w:keepLines w:val="0"/>
        <w:spacing w:before="0" w:after="100" w:line="276" w:lineRule="auto"/>
        <w:ind w:left="360"/>
      </w:pPr>
      <w:r>
        <w:rPr>
          <w:rFonts w:ascii="Calibri" w:hAnsi="Calibri"/>
          <w:color w:val="17131D"/>
          <w:sz w:val="20"/>
        </w:rPr>
        <w:t>Help the person create reliable value through work, enterprise, care, invention, or community contribution.</w:t>
      </w:r>
    </w:p>
    <w:p>
      <w:pPr>
        <w:keepNext/>
        <w:keepLines w:val="0"/>
        <w:spacing w:before="20" w:after="20" w:line="240" w:lineRule="auto"/>
      </w:pPr>
      <w:r>
        <w:rPr>
          <w:rFonts w:ascii="Calibri" w:hAnsi="Calibri"/>
          <w:b/>
          <w:color w:val="4E176F"/>
          <w:sz w:val="22"/>
        </w:rPr>
        <w:t>5. Ownership</w:t>
      </w:r>
    </w:p>
    <w:p>
      <w:pPr>
        <w:keepNext w:val="0"/>
        <w:keepLines w:val="0"/>
        <w:spacing w:before="0" w:after="100" w:line="276" w:lineRule="auto"/>
        <w:ind w:left="360"/>
      </w:pPr>
      <w:r>
        <w:rPr>
          <w:rFonts w:ascii="Calibri" w:hAnsi="Calibri"/>
          <w:color w:val="17131D"/>
          <w:sz w:val="20"/>
        </w:rPr>
        <w:t>Convert income and capability into tools, savings, equity, intellectual property, housing, or business assets.</w:t>
      </w:r>
    </w:p>
    <w:p>
      <w:pPr>
        <w:keepNext/>
        <w:keepLines w:val="0"/>
        <w:spacing w:before="20" w:after="20" w:line="240" w:lineRule="auto"/>
      </w:pPr>
      <w:r>
        <w:rPr>
          <w:rFonts w:ascii="Calibri" w:hAnsi="Calibri"/>
          <w:b/>
          <w:color w:val="4E176F"/>
          <w:sz w:val="22"/>
        </w:rPr>
        <w:t>6. Independence</w:t>
      </w:r>
    </w:p>
    <w:p>
      <w:pPr>
        <w:keepNext w:val="0"/>
        <w:keepLines w:val="0"/>
        <w:spacing w:before="0" w:after="100" w:line="276" w:lineRule="auto"/>
        <w:ind w:left="360"/>
      </w:pPr>
      <w:r>
        <w:rPr>
          <w:rFonts w:ascii="Calibri" w:hAnsi="Calibri"/>
          <w:color w:val="17131D"/>
          <w:sz w:val="20"/>
        </w:rPr>
        <w:t>Reduce coercive reliance and expand the person's ability to choose, refuse, move, negotiate, and recover.</w:t>
      </w:r>
    </w:p>
    <w:p>
      <w:pPr>
        <w:keepNext/>
        <w:keepLines w:val="0"/>
        <w:spacing w:before="20" w:after="20" w:line="240" w:lineRule="auto"/>
      </w:pPr>
      <w:r>
        <w:rPr>
          <w:rFonts w:ascii="Calibri" w:hAnsi="Calibri"/>
          <w:b/>
          <w:color w:val="4E176F"/>
          <w:sz w:val="22"/>
        </w:rPr>
        <w:t>7. Stewardship</w:t>
      </w:r>
    </w:p>
    <w:p>
      <w:pPr>
        <w:keepNext w:val="0"/>
        <w:keepLines w:val="0"/>
        <w:spacing w:before="0" w:after="100" w:line="276" w:lineRule="auto"/>
        <w:ind w:left="360"/>
      </w:pPr>
      <w:r>
        <w:rPr>
          <w:rFonts w:ascii="Calibri" w:hAnsi="Calibri"/>
          <w:color w:val="17131D"/>
          <w:sz w:val="20"/>
        </w:rPr>
        <w:t>Enable capable citizens to mentor, invest, give, employ, build, and strengthen the next person.</w:t>
      </w:r>
    </w:p>
    <w:p>
      <w:r>
        <w:br w:type="page"/>
      </w:r>
    </w:p>
    <w:p>
      <w:pPr>
        <w:pStyle w:val="Heading2"/>
      </w:pPr>
      <w:r>
        <w:t>A twenty-five-year transition</w:t>
      </w:r>
    </w:p>
    <w:tbl>
      <w:tblPr>
        <w:tblW w:type="dxa" w:w="9360"/>
        <w:tblLayout w:type="fixed"/>
        <w:tblLook w:firstColumn="1" w:firstRow="1" w:lastColumn="0" w:lastRow="0" w:noHBand="0" w:noVBand="1" w:val="04A0"/>
        <w:jc w:val="left"/>
        <w:tblInd w:w="120" w:type="dxa"/>
      </w:tblPr>
      <w:tblGrid>
        <w:gridCol w:w="1450"/>
        <w:gridCol w:w="1600"/>
        <w:gridCol w:w="6310"/>
      </w:tblGrid>
      <w:tr>
        <w:trPr>
          <w:tblHeader w:val="true"/>
        </w:trPr>
        <w:tc>
          <w:tcPr>
            <w:tcW w:type="dxa" w:w="1450"/>
            <w:tcMar>
              <w:top w:w="100" w:type="dxa"/>
              <w:start w:w="140" w:type="dxa"/>
              <w:bottom w:w="100" w:type="dxa"/>
              <w:end w:w="140" w:type="dxa"/>
            </w:tcMar>
            <w:shd w:fill="210D31"/>
            <w:vAlign w:val="center"/>
          </w:tcPr>
          <w:p>
            <w:pPr>
              <w:keepNext w:val="0"/>
              <w:keepLines w:val="0"/>
              <w:spacing w:before="0" w:after="0" w:line="240" w:lineRule="auto"/>
              <w:jc w:val="center"/>
            </w:pPr>
            <w:r>
              <w:rPr>
                <w:rFonts w:ascii="Calibri" w:hAnsi="Calibri"/>
                <w:b/>
                <w:color w:val="FFFDF8"/>
                <w:sz w:val="18"/>
              </w:rPr>
              <w:t>Period</w:t>
            </w:r>
          </w:p>
        </w:tc>
        <w:tc>
          <w:tcPr>
            <w:tcW w:type="dxa" w:w="1600"/>
            <w:tcMar>
              <w:top w:w="100" w:type="dxa"/>
              <w:start w:w="140" w:type="dxa"/>
              <w:bottom w:w="100" w:type="dxa"/>
              <w:end w:w="140" w:type="dxa"/>
            </w:tcMar>
            <w:shd w:fill="210D31"/>
            <w:vAlign w:val="center"/>
          </w:tcPr>
          <w:p>
            <w:pPr>
              <w:keepNext w:val="0"/>
              <w:keepLines w:val="0"/>
              <w:spacing w:before="0" w:after="0" w:line="240" w:lineRule="auto"/>
              <w:jc w:val="center"/>
            </w:pPr>
            <w:r>
              <w:rPr>
                <w:rFonts w:ascii="Calibri" w:hAnsi="Calibri"/>
                <w:b/>
                <w:color w:val="FFFDF8"/>
                <w:sz w:val="18"/>
              </w:rPr>
              <w:t>Purpose</w:t>
            </w:r>
          </w:p>
        </w:tc>
        <w:tc>
          <w:tcPr>
            <w:tcW w:type="dxa" w:w="6310"/>
            <w:tcMar>
              <w:top w:w="100" w:type="dxa"/>
              <w:start w:w="140" w:type="dxa"/>
              <w:bottom w:w="100" w:type="dxa"/>
              <w:end w:w="140" w:type="dxa"/>
            </w:tcMar>
            <w:shd w:fill="210D31"/>
            <w:vAlign w:val="center"/>
          </w:tcPr>
          <w:p>
            <w:pPr>
              <w:keepNext w:val="0"/>
              <w:keepLines w:val="0"/>
              <w:spacing w:before="0" w:after="0" w:line="240" w:lineRule="auto"/>
              <w:jc w:val="center"/>
            </w:pPr>
            <w:r>
              <w:rPr>
                <w:rFonts w:ascii="Calibri" w:hAnsi="Calibri"/>
                <w:b/>
                <w:color w:val="FFFDF8"/>
                <w:sz w:val="18"/>
              </w:rPr>
              <w:t>What must happen</w:t>
            </w:r>
          </w:p>
        </w:tc>
      </w:tr>
      <w:tr>
        <w:tc>
          <w:tcPr>
            <w:tcW w:type="dxa" w:w="1450"/>
            <w:vAlign w:val="center"/>
            <w:tcMar>
              <w:top w:w="100" w:type="dxa"/>
              <w:start w:w="140" w:type="dxa"/>
              <w:bottom w:w="100" w:type="dxa"/>
              <w:end w:w="140" w:type="dxa"/>
            </w:tcMar>
            <w:shd w:fill="F1EAF5"/>
          </w:tcPr>
          <w:p>
            <w:pPr>
              <w:keepNext w:val="0"/>
              <w:keepLines w:val="0"/>
              <w:spacing w:before="0" w:after="0" w:line="276" w:lineRule="auto"/>
              <w:jc w:val="center"/>
            </w:pPr>
            <w:r>
              <w:rPr>
                <w:rFonts w:ascii="Calibri" w:hAnsi="Calibri"/>
                <w:b/>
                <w:color w:val="4E176F"/>
                <w:sz w:val="18"/>
              </w:rPr>
              <w:t>Years 1-3</w:t>
            </w:r>
          </w:p>
        </w:tc>
        <w:tc>
          <w:tcPr>
            <w:tcW w:type="dxa" w:w="1600"/>
            <w:vAlign w:val="center"/>
            <w:tcMar>
              <w:top w:w="100" w:type="dxa"/>
              <w:start w:w="140" w:type="dxa"/>
              <w:bottom w:w="100" w:type="dxa"/>
              <w:end w:w="140" w:type="dxa"/>
            </w:tcMar>
            <w:shd w:fill="FBF5E5"/>
          </w:tcPr>
          <w:p>
            <w:pPr>
              <w:keepNext w:val="0"/>
              <w:keepLines w:val="0"/>
              <w:spacing w:before="0" w:after="0" w:line="276" w:lineRule="auto"/>
              <w:jc w:val="center"/>
            </w:pPr>
            <w:r>
              <w:rPr>
                <w:rFonts w:ascii="Calibri" w:hAnsi="Calibri"/>
                <w:b/>
                <w:color w:val="4E176F"/>
                <w:sz w:val="18"/>
              </w:rPr>
              <w:t>Define</w:t>
            </w:r>
          </w:p>
        </w:tc>
        <w:tc>
          <w:tcPr>
            <w:tcW w:type="dxa" w:w="6310"/>
            <w:vAlign w:val="center"/>
            <w:tcMar>
              <w:top w:w="100" w:type="dxa"/>
              <w:start w:w="140" w:type="dxa"/>
              <w:bottom w:w="100" w:type="dxa"/>
              <w:end w:w="140" w:type="dxa"/>
            </w:tcMar>
          </w:tcPr>
          <w:p>
            <w:pPr>
              <w:keepNext w:val="0"/>
              <w:keepLines w:val="0"/>
              <w:spacing w:before="0" w:after="0" w:line="276" w:lineRule="auto"/>
              <w:jc w:val="left"/>
            </w:pPr>
            <w:r>
              <w:rPr>
                <w:rFonts w:ascii="Calibri" w:hAnsi="Calibri"/>
                <w:b w:val="0"/>
                <w:color w:val="17131D"/>
                <w:sz w:val="18"/>
              </w:rPr>
              <w:t>Establish lawful metrics, privacy rules, baselines, independent evaluators, pilot authorities, and stop conditions.</w:t>
            </w:r>
          </w:p>
        </w:tc>
      </w:tr>
      <w:tr>
        <w:tc>
          <w:tcPr>
            <w:tcW w:type="dxa" w:w="1450"/>
            <w:vAlign w:val="center"/>
            <w:tcMar>
              <w:top w:w="100" w:type="dxa"/>
              <w:start w:w="140" w:type="dxa"/>
              <w:bottom w:w="100" w:type="dxa"/>
              <w:end w:w="140" w:type="dxa"/>
            </w:tcMar>
            <w:shd w:fill="F1EAF5"/>
          </w:tcPr>
          <w:p>
            <w:pPr>
              <w:keepNext w:val="0"/>
              <w:keepLines w:val="0"/>
              <w:spacing w:before="0" w:after="0" w:line="276" w:lineRule="auto"/>
              <w:jc w:val="center"/>
            </w:pPr>
            <w:r>
              <w:rPr>
                <w:rFonts w:ascii="Calibri" w:hAnsi="Calibri"/>
                <w:b/>
                <w:color w:val="4E176F"/>
                <w:sz w:val="18"/>
              </w:rPr>
              <w:t>Years 4-8</w:t>
            </w:r>
          </w:p>
        </w:tc>
        <w:tc>
          <w:tcPr>
            <w:tcW w:type="dxa" w:w="1600"/>
            <w:vAlign w:val="center"/>
            <w:tcMar>
              <w:top w:w="100" w:type="dxa"/>
              <w:start w:w="140" w:type="dxa"/>
              <w:bottom w:w="100" w:type="dxa"/>
              <w:end w:w="140" w:type="dxa"/>
            </w:tcMar>
            <w:shd w:fill="FBF5E5"/>
          </w:tcPr>
          <w:p>
            <w:pPr>
              <w:keepNext w:val="0"/>
              <w:keepLines w:val="0"/>
              <w:spacing w:before="0" w:after="0" w:line="276" w:lineRule="auto"/>
              <w:jc w:val="center"/>
            </w:pPr>
            <w:r>
              <w:rPr>
                <w:rFonts w:ascii="Calibri" w:hAnsi="Calibri"/>
                <w:b/>
                <w:color w:val="4E176F"/>
                <w:sz w:val="18"/>
              </w:rPr>
              <w:t>Prove</w:t>
            </w:r>
          </w:p>
        </w:tc>
        <w:tc>
          <w:tcPr>
            <w:tcW w:type="dxa" w:w="6310"/>
            <w:vAlign w:val="center"/>
            <w:tcMar>
              <w:top w:w="100" w:type="dxa"/>
              <w:start w:w="140" w:type="dxa"/>
              <w:bottom w:w="100" w:type="dxa"/>
              <w:end w:w="140" w:type="dxa"/>
            </w:tcMar>
          </w:tcPr>
          <w:p>
            <w:pPr>
              <w:keepNext w:val="0"/>
              <w:keepLines w:val="0"/>
              <w:spacing w:before="0" w:after="0" w:line="276" w:lineRule="auto"/>
              <w:jc w:val="left"/>
            </w:pPr>
            <w:r>
              <w:rPr>
                <w:rFonts w:ascii="Calibri" w:hAnsi="Calibri"/>
                <w:b w:val="0"/>
                <w:color w:val="17131D"/>
                <w:sz w:val="18"/>
              </w:rPr>
              <w:t>Run bounded local and state pilots in workforce, food, energy, housing, health, infrastructure, and productive credit.</w:t>
            </w:r>
          </w:p>
        </w:tc>
      </w:tr>
      <w:tr>
        <w:tc>
          <w:tcPr>
            <w:tcW w:type="dxa" w:w="1450"/>
            <w:vAlign w:val="center"/>
            <w:tcMar>
              <w:top w:w="100" w:type="dxa"/>
              <w:start w:w="140" w:type="dxa"/>
              <w:bottom w:w="100" w:type="dxa"/>
              <w:end w:w="140" w:type="dxa"/>
            </w:tcMar>
            <w:shd w:fill="F1EAF5"/>
          </w:tcPr>
          <w:p>
            <w:pPr>
              <w:keepNext w:val="0"/>
              <w:keepLines w:val="0"/>
              <w:spacing w:before="0" w:after="0" w:line="276" w:lineRule="auto"/>
              <w:jc w:val="center"/>
            </w:pPr>
            <w:r>
              <w:rPr>
                <w:rFonts w:ascii="Calibri" w:hAnsi="Calibri"/>
                <w:b/>
                <w:color w:val="4E176F"/>
                <w:sz w:val="18"/>
              </w:rPr>
              <w:t>Years 9-14</w:t>
            </w:r>
          </w:p>
        </w:tc>
        <w:tc>
          <w:tcPr>
            <w:tcW w:type="dxa" w:w="1600"/>
            <w:vAlign w:val="center"/>
            <w:tcMar>
              <w:top w:w="100" w:type="dxa"/>
              <w:start w:w="140" w:type="dxa"/>
              <w:bottom w:w="100" w:type="dxa"/>
              <w:end w:w="140" w:type="dxa"/>
            </w:tcMar>
            <w:shd w:fill="FBF5E5"/>
          </w:tcPr>
          <w:p>
            <w:pPr>
              <w:keepNext w:val="0"/>
              <w:keepLines w:val="0"/>
              <w:spacing w:before="0" w:after="0" w:line="276" w:lineRule="auto"/>
              <w:jc w:val="center"/>
            </w:pPr>
            <w:r>
              <w:rPr>
                <w:rFonts w:ascii="Calibri" w:hAnsi="Calibri"/>
                <w:b/>
                <w:color w:val="4E176F"/>
                <w:sz w:val="18"/>
              </w:rPr>
              <w:t>Expand</w:t>
            </w:r>
          </w:p>
        </w:tc>
        <w:tc>
          <w:tcPr>
            <w:tcW w:type="dxa" w:w="6310"/>
            <w:vAlign w:val="center"/>
            <w:tcMar>
              <w:top w:w="100" w:type="dxa"/>
              <w:start w:w="140" w:type="dxa"/>
              <w:bottom w:w="100" w:type="dxa"/>
              <w:end w:w="140" w:type="dxa"/>
            </w:tcMar>
          </w:tcPr>
          <w:p>
            <w:pPr>
              <w:keepNext w:val="0"/>
              <w:keepLines w:val="0"/>
              <w:spacing w:before="0" w:after="0" w:line="276" w:lineRule="auto"/>
              <w:jc w:val="left"/>
            </w:pPr>
            <w:r>
              <w:rPr>
                <w:rFonts w:ascii="Calibri" w:hAnsi="Calibri"/>
                <w:b w:val="0"/>
                <w:color w:val="17131D"/>
                <w:sz w:val="18"/>
              </w:rPr>
              <w:t>Scale only the designs that show verified gains in household surplus, capability, output, ownership, and access.</w:t>
            </w:r>
          </w:p>
        </w:tc>
      </w:tr>
      <w:tr>
        <w:tc>
          <w:tcPr>
            <w:tcW w:type="dxa" w:w="1450"/>
            <w:vAlign w:val="center"/>
            <w:tcMar>
              <w:top w:w="100" w:type="dxa"/>
              <w:start w:w="140" w:type="dxa"/>
              <w:bottom w:w="100" w:type="dxa"/>
              <w:end w:w="140" w:type="dxa"/>
            </w:tcMar>
            <w:shd w:fill="F1EAF5"/>
          </w:tcPr>
          <w:p>
            <w:pPr>
              <w:keepNext w:val="0"/>
              <w:keepLines w:val="0"/>
              <w:spacing w:before="0" w:after="0" w:line="276" w:lineRule="auto"/>
              <w:jc w:val="center"/>
            </w:pPr>
            <w:r>
              <w:rPr>
                <w:rFonts w:ascii="Calibri" w:hAnsi="Calibri"/>
                <w:b/>
                <w:color w:val="4E176F"/>
                <w:sz w:val="18"/>
              </w:rPr>
              <w:t>Years 15-20</w:t>
            </w:r>
          </w:p>
        </w:tc>
        <w:tc>
          <w:tcPr>
            <w:tcW w:type="dxa" w:w="1600"/>
            <w:vAlign w:val="center"/>
            <w:tcMar>
              <w:top w:w="100" w:type="dxa"/>
              <w:start w:w="140" w:type="dxa"/>
              <w:bottom w:w="100" w:type="dxa"/>
              <w:end w:w="140" w:type="dxa"/>
            </w:tcMar>
            <w:shd w:fill="FBF5E5"/>
          </w:tcPr>
          <w:p>
            <w:pPr>
              <w:keepNext w:val="0"/>
              <w:keepLines w:val="0"/>
              <w:spacing w:before="0" w:after="0" w:line="276" w:lineRule="auto"/>
              <w:jc w:val="center"/>
            </w:pPr>
            <w:r>
              <w:rPr>
                <w:rFonts w:ascii="Calibri" w:hAnsi="Calibri"/>
                <w:b/>
                <w:color w:val="4E176F"/>
                <w:sz w:val="18"/>
              </w:rPr>
              <w:t>Realign</w:t>
            </w:r>
          </w:p>
        </w:tc>
        <w:tc>
          <w:tcPr>
            <w:tcW w:type="dxa" w:w="6310"/>
            <w:vAlign w:val="center"/>
            <w:tcMar>
              <w:top w:w="100" w:type="dxa"/>
              <w:start w:w="140" w:type="dxa"/>
              <w:bottom w:w="100" w:type="dxa"/>
              <w:end w:w="140" w:type="dxa"/>
            </w:tcMar>
          </w:tcPr>
          <w:p>
            <w:pPr>
              <w:keepNext w:val="0"/>
              <w:keepLines w:val="0"/>
              <w:spacing w:before="0" w:after="0" w:line="276" w:lineRule="auto"/>
              <w:jc w:val="left"/>
            </w:pPr>
            <w:r>
              <w:rPr>
                <w:rFonts w:ascii="Calibri" w:hAnsi="Calibri"/>
                <w:b w:val="0"/>
                <w:color w:val="17131D"/>
                <w:sz w:val="18"/>
              </w:rPr>
              <w:t>Shift a larger share of public incentives and private finance toward verified capability and cost reduction.</w:t>
            </w:r>
          </w:p>
        </w:tc>
      </w:tr>
      <w:tr>
        <w:tc>
          <w:tcPr>
            <w:tcW w:type="dxa" w:w="1450"/>
            <w:vAlign w:val="center"/>
            <w:tcMar>
              <w:top w:w="100" w:type="dxa"/>
              <w:start w:w="140" w:type="dxa"/>
              <w:bottom w:w="100" w:type="dxa"/>
              <w:end w:w="140" w:type="dxa"/>
            </w:tcMar>
            <w:shd w:fill="F1EAF5"/>
          </w:tcPr>
          <w:p>
            <w:pPr>
              <w:keepNext w:val="0"/>
              <w:keepLines w:val="0"/>
              <w:spacing w:before="0" w:after="0" w:line="276" w:lineRule="auto"/>
              <w:jc w:val="center"/>
            </w:pPr>
            <w:r>
              <w:rPr>
                <w:rFonts w:ascii="Calibri" w:hAnsi="Calibri"/>
                <w:b/>
                <w:color w:val="4E176F"/>
                <w:sz w:val="18"/>
              </w:rPr>
              <w:t>Years 21-25</w:t>
            </w:r>
          </w:p>
        </w:tc>
        <w:tc>
          <w:tcPr>
            <w:tcW w:type="dxa" w:w="1600"/>
            <w:vAlign w:val="center"/>
            <w:tcMar>
              <w:top w:w="100" w:type="dxa"/>
              <w:start w:w="140" w:type="dxa"/>
              <w:bottom w:w="100" w:type="dxa"/>
              <w:end w:w="140" w:type="dxa"/>
            </w:tcMar>
            <w:shd w:fill="FBF5E5"/>
          </w:tcPr>
          <w:p>
            <w:pPr>
              <w:keepNext w:val="0"/>
              <w:keepLines w:val="0"/>
              <w:spacing w:before="0" w:after="0" w:line="276" w:lineRule="auto"/>
              <w:jc w:val="center"/>
            </w:pPr>
            <w:r>
              <w:rPr>
                <w:rFonts w:ascii="Calibri" w:hAnsi="Calibri"/>
                <w:b/>
                <w:color w:val="4E176F"/>
                <w:sz w:val="18"/>
              </w:rPr>
              <w:t>Consolidate</w:t>
            </w:r>
          </w:p>
        </w:tc>
        <w:tc>
          <w:tcPr>
            <w:tcW w:type="dxa" w:w="6310"/>
            <w:vAlign w:val="center"/>
            <w:tcMar>
              <w:top w:w="100" w:type="dxa"/>
              <w:start w:w="140" w:type="dxa"/>
              <w:bottom w:w="100" w:type="dxa"/>
              <w:end w:w="140" w:type="dxa"/>
            </w:tcMar>
          </w:tcPr>
          <w:p>
            <w:pPr>
              <w:keepNext w:val="0"/>
              <w:keepLines w:val="0"/>
              <w:spacing w:before="0" w:after="0" w:line="276" w:lineRule="auto"/>
              <w:jc w:val="left"/>
            </w:pPr>
            <w:r>
              <w:rPr>
                <w:rFonts w:ascii="Calibri" w:hAnsi="Calibri"/>
                <w:b w:val="0"/>
                <w:color w:val="17131D"/>
                <w:sz w:val="18"/>
              </w:rPr>
              <w:t>Reduce recurring rescue where durable independence has actually grown, while protecting those who still need support.</w:t>
            </w:r>
          </w:p>
        </w:tc>
      </w:tr>
    </w:tbl>
    <w:p>
      <w:pPr>
        <w:pStyle w:val="Heading2"/>
      </w:pPr>
      <w:r>
        <w:t>The phase-change rule</w:t>
      </w:r>
    </w:p>
    <w:p>
      <w:pPr>
        <w:keepNext w:val="0"/>
        <w:keepLines w:val="0"/>
        <w:spacing w:before="0" w:after="160" w:line="320" w:lineRule="auto"/>
        <w:jc w:val="both"/>
      </w:pPr>
      <w:r>
        <w:rPr>
          <w:rFonts w:ascii="Calibri" w:hAnsi="Calibri"/>
          <w:i w:val="0"/>
          <w:color w:val="17131D"/>
          <w:sz w:val="22"/>
        </w:rPr>
        <w:t>No calendar date, spending target, or political deadline is enough to move the program into its next phase. Advancement requires independently verified improvement in household surplus, productive capability, access, reliability, and ownership - together with evidence that vulnerable people are not being harmed. If a program fails those tests, it pauses, corrects, contracts, or ends.</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shd w:fill="F1EAF5"/>
            <w:tcBorders>
              <w:top w:val="nil"/>
              <w:start w:val="single" w:sz="18" w:space="0" w:color="4E176F"/>
              <w:bottom w:val="nil"/>
              <w:end w:val="nil"/>
            </w:tcBorders>
            <w:vAlign w:val="center"/>
          </w:tcPr>
          <w:p>
            <w:pPr>
              <w:keepNext/>
              <w:keepLines w:val="0"/>
              <w:spacing w:before="0" w:after="60" w:line="240" w:lineRule="auto"/>
            </w:pPr>
            <w:r>
              <w:rPr>
                <w:rFonts w:ascii="Calibri" w:hAnsi="Calibri"/>
                <w:b/>
                <w:caps/>
                <w:color w:val="4E176F"/>
                <w:sz w:val="17"/>
              </w:rPr>
              <w:t>PROTECTION BEFORE CONTRACTION</w:t>
            </w:r>
          </w:p>
          <w:p>
            <w:pPr>
              <w:keepNext w:val="0"/>
              <w:keepLines w:val="0"/>
              <w:spacing w:before="0" w:after="0" w:line="288" w:lineRule="auto"/>
            </w:pPr>
            <w:r>
              <w:rPr>
                <w:rFonts w:ascii="Calibri" w:hAnsi="Calibri"/>
                <w:b/>
                <w:color w:val="17131D"/>
                <w:sz w:val="23"/>
              </w:rPr>
              <w:t>A falling caseload is not proof of success by itself. The proof is durable capability: people can meet essential needs, withstand shocks, exercise real choice, and keep the assets and skills that made independence possible.</w:t>
            </w:r>
          </w:p>
        </w:tc>
      </w:tr>
    </w:tbl>
    <w:p>
      <w:pPr>
        <w:keepNext w:val="0"/>
        <w:keepLines w:val="0"/>
        <w:spacing w:before="0" w:after="60" w:line="240" w:lineRule="auto"/>
      </w:pPr>
    </w:p>
    <w:p>
      <w:r>
        <w:br w:type="page"/>
      </w:r>
    </w:p>
    <w:p>
      <w:pPr>
        <w:keepNext/>
        <w:keepLines w:val="0"/>
        <w:spacing w:before="160" w:after="240" w:line="240" w:lineRule="auto"/>
      </w:pPr>
      <w:r>
        <w:rPr>
          <w:rFonts w:ascii="Calibri" w:hAnsi="Calibri"/>
          <w:b/>
          <w:caps/>
          <w:color w:val="D8AE55"/>
          <w:sz w:val="19"/>
        </w:rPr>
        <w:t>CHAPTER 05</w:t>
      </w:r>
    </w:p>
    <w:p>
      <w:pPr>
        <w:keepNext/>
        <w:keepLines w:val="0"/>
        <w:spacing w:before="0" w:after="200" w:line="240" w:lineRule="auto"/>
      </w:pPr>
      <w:r>
        <w:rPr>
          <w:rFonts w:ascii="Georgia" w:hAnsi="Georgia"/>
          <w:color w:val="210D31"/>
          <w:sz w:val="54"/>
        </w:rPr>
        <w:t>What a Purple Presidency Would Actually Do</w:t>
      </w:r>
    </w:p>
    <w:p>
      <w:pPr>
        <w:keepNext w:val="0"/>
        <w:keepLines w:val="0"/>
        <w:spacing w:before="0" w:after="480" w:line="288" w:lineRule="auto"/>
      </w:pPr>
      <w:r>
        <w:rPr>
          <w:rFonts w:ascii="Calibri" w:hAnsi="Calibri"/>
          <w:i/>
          <w:color w:val="6C2D8D"/>
          <w:sz w:val="26"/>
        </w:rPr>
        <w:t>The presidency cannot rebuild the economy by decree. It can propose, convene, enforce existing law, administer authorized programs, and make evidence visible.</w:t>
      </w:r>
    </w:p>
    <w:p>
      <w:pPr>
        <w:keepNext w:val="0"/>
        <w:keepLines w:val="0"/>
        <w:spacing w:before="0" w:after="160" w:line="320" w:lineRule="auto"/>
        <w:jc w:val="both"/>
      </w:pPr>
      <w:r>
        <w:rPr>
          <w:rFonts w:ascii="Calibri" w:hAnsi="Calibri"/>
          <w:i w:val="0"/>
          <w:color w:val="17131D"/>
          <w:sz w:val="22"/>
        </w:rPr>
        <w:t>The boldest Purple rhetoric must be translated into constitutional work. Congress controls appropriations and writes federal statutes. Courts interpret law. States retain substantial authority. Independent agencies, private institutions, local governments, and citizens have their own lawful roles. A Purple President would need to persuade, negotiate, and prove rather than merely command.</w:t>
      </w:r>
    </w:p>
    <w:p>
      <w:pPr>
        <w:pStyle w:val="Heading2"/>
      </w:pPr>
      <w:r>
        <w:t>The first governing sequence</w:t>
      </w:r>
    </w:p>
    <w:p>
      <w:pPr>
        <w:keepNext w:val="0"/>
        <w:keepLines w:val="0"/>
        <w:numPr>
          <w:ilvl w:val="0"/>
          <w:numId w:val="91"/>
        </w:numPr>
        <w:spacing w:before="0" w:after="80" w:line="290" w:lineRule="auto"/>
        <w:ind w:left="540" w:hanging="279"/>
      </w:pPr>
      <w:r>
        <w:rPr>
          <w:rFonts w:ascii="Calibri" w:hAnsi="Calibri"/>
          <w:b/>
          <w:color w:val="17131D"/>
          <w:sz w:val="22"/>
        </w:rPr>
        <w:t>Publish the covenant.</w:t>
      </w:r>
      <w:r>
        <w:rPr>
          <w:rFonts w:ascii="Calibri" w:hAnsi="Calibri"/>
          <w:color w:val="17131D"/>
          <w:sz w:val="22"/>
        </w:rPr>
        <w:t xml:space="preserve"> Release the candidate's full Statesman Covenant, legal-authority map, conflicts policy, household metrics, and public reporting calendar.</w:t>
      </w:r>
    </w:p>
    <w:p>
      <w:pPr>
        <w:keepNext w:val="0"/>
        <w:keepLines w:val="0"/>
        <w:numPr>
          <w:ilvl w:val="0"/>
          <w:numId w:val="91"/>
        </w:numPr>
        <w:spacing w:before="0" w:after="80" w:line="290" w:lineRule="auto"/>
        <w:ind w:left="540" w:hanging="279"/>
      </w:pPr>
      <w:r>
        <w:rPr>
          <w:rFonts w:ascii="Calibri" w:hAnsi="Calibri"/>
          <w:b/>
          <w:color w:val="17131D"/>
          <w:sz w:val="22"/>
        </w:rPr>
        <w:t>Establish an evidence office.</w:t>
      </w:r>
      <w:r>
        <w:rPr>
          <w:rFonts w:ascii="Calibri" w:hAnsi="Calibri"/>
          <w:color w:val="17131D"/>
          <w:sz w:val="22"/>
        </w:rPr>
        <w:t xml:space="preserve"> Create or designate a lawful, independent measurement function with public methods, reproducible data, dissenting analysis, and inspector-general access.</w:t>
      </w:r>
    </w:p>
    <w:p>
      <w:pPr>
        <w:keepNext w:val="0"/>
        <w:keepLines w:val="0"/>
        <w:numPr>
          <w:ilvl w:val="0"/>
          <w:numId w:val="91"/>
        </w:numPr>
        <w:spacing w:before="0" w:after="80" w:line="290" w:lineRule="auto"/>
        <w:ind w:left="540" w:hanging="279"/>
      </w:pPr>
      <w:r>
        <w:rPr>
          <w:rFonts w:ascii="Calibri" w:hAnsi="Calibri"/>
          <w:b/>
          <w:color w:val="17131D"/>
          <w:sz w:val="22"/>
        </w:rPr>
        <w:t>Propose enabling legislation.</w:t>
      </w:r>
      <w:r>
        <w:rPr>
          <w:rFonts w:ascii="Calibri" w:hAnsi="Calibri"/>
          <w:color w:val="17131D"/>
          <w:sz w:val="22"/>
        </w:rPr>
        <w:t xml:space="preserve"> Ask Congress for bounded pilot authority, competition rules, privacy protection, due process, appropriations, audits, and automatic sunset provisions.</w:t>
      </w:r>
    </w:p>
    <w:p>
      <w:pPr>
        <w:keepNext w:val="0"/>
        <w:keepLines w:val="0"/>
        <w:numPr>
          <w:ilvl w:val="0"/>
          <w:numId w:val="91"/>
        </w:numPr>
        <w:spacing w:before="0" w:after="80" w:line="290" w:lineRule="auto"/>
        <w:ind w:left="540" w:hanging="279"/>
      </w:pPr>
      <w:r>
        <w:rPr>
          <w:rFonts w:ascii="Calibri" w:hAnsi="Calibri"/>
          <w:b/>
          <w:color w:val="17131D"/>
          <w:sz w:val="22"/>
        </w:rPr>
        <w:t>Invite state and local pilots.</w:t>
      </w:r>
      <w:r>
        <w:rPr>
          <w:rFonts w:ascii="Calibri" w:hAnsi="Calibri"/>
          <w:color w:val="17131D"/>
          <w:sz w:val="22"/>
        </w:rPr>
        <w:t xml:space="preserve"> Allow willing jurisdictions to compete with different designs while preserving common rights, metrics, and disclosure standards.</w:t>
      </w:r>
    </w:p>
    <w:p>
      <w:pPr>
        <w:keepNext w:val="0"/>
        <w:keepLines w:val="0"/>
        <w:numPr>
          <w:ilvl w:val="0"/>
          <w:numId w:val="91"/>
        </w:numPr>
        <w:spacing w:before="0" w:after="80" w:line="290" w:lineRule="auto"/>
        <w:ind w:left="540" w:hanging="279"/>
      </w:pPr>
      <w:r>
        <w:rPr>
          <w:rFonts w:ascii="Calibri" w:hAnsi="Calibri"/>
          <w:b/>
          <w:color w:val="17131D"/>
          <w:sz w:val="22"/>
        </w:rPr>
        <w:t>Use Public Benefit Exchanges.</w:t>
      </w:r>
      <w:r>
        <w:rPr>
          <w:rFonts w:ascii="Calibri" w:hAnsi="Calibri"/>
          <w:color w:val="17131D"/>
          <w:sz w:val="22"/>
        </w:rPr>
        <w:t xml:space="preserve"> Where law permits, connect private profit to verified public outcomes through competitive contracts, bonds, milestones, pass-through duties, and clawbacks.</w:t>
      </w:r>
    </w:p>
    <w:p>
      <w:pPr>
        <w:keepNext w:val="0"/>
        <w:keepLines w:val="0"/>
        <w:numPr>
          <w:ilvl w:val="0"/>
          <w:numId w:val="91"/>
        </w:numPr>
        <w:spacing w:before="0" w:after="80" w:line="290" w:lineRule="auto"/>
        <w:ind w:left="540" w:hanging="279"/>
      </w:pPr>
      <w:r>
        <w:rPr>
          <w:rFonts w:ascii="Calibri" w:hAnsi="Calibri"/>
          <w:b/>
          <w:color w:val="17131D"/>
          <w:sz w:val="22"/>
        </w:rPr>
        <w:t>Publish the failures.</w:t>
      </w:r>
      <w:r>
        <w:rPr>
          <w:rFonts w:ascii="Calibri" w:hAnsi="Calibri"/>
          <w:color w:val="17131D"/>
          <w:sz w:val="22"/>
        </w:rPr>
        <w:t xml:space="preserve"> Make unsuccessful designs, missed milestones, costs, harms, corrections, and termination decisions visible to the public.</w:t>
      </w:r>
    </w:p>
    <w:p>
      <w:r>
        <w:br w:type="page"/>
      </w:r>
    </w:p>
    <w:p>
      <w:pPr>
        <w:pStyle w:val="Heading2"/>
      </w:pPr>
      <w:r>
        <w:t>What should not happen on day one</w:t>
      </w:r>
    </w:p>
    <w:p>
      <w:pPr>
        <w:keepNext w:val="0"/>
        <w:keepLines w:val="0"/>
        <w:numPr>
          <w:ilvl w:val="0"/>
          <w:numId w:val="90"/>
        </w:numPr>
        <w:spacing w:before="0" w:after="80" w:line="290" w:lineRule="auto"/>
        <w:ind w:left="540" w:hanging="279"/>
      </w:pPr>
      <w:r>
        <w:rPr>
          <w:rFonts w:ascii="Calibri" w:hAnsi="Calibri"/>
          <w:color w:val="17131D"/>
          <w:sz w:val="22"/>
        </w:rPr>
        <w:t>No sudden abolition of the Federal Reserve, deposit insurance, ordinary lending, or the payments system.</w:t>
      </w:r>
    </w:p>
    <w:p>
      <w:pPr>
        <w:keepNext w:val="0"/>
        <w:keepLines w:val="0"/>
        <w:numPr>
          <w:ilvl w:val="0"/>
          <w:numId w:val="90"/>
        </w:numPr>
        <w:spacing w:before="0" w:after="80" w:line="290" w:lineRule="auto"/>
        <w:ind w:left="540" w:hanging="279"/>
      </w:pPr>
      <w:r>
        <w:rPr>
          <w:rFonts w:ascii="Calibri" w:hAnsi="Calibri"/>
          <w:color w:val="17131D"/>
          <w:sz w:val="22"/>
        </w:rPr>
        <w:t>No blanket cancellation of lawful contracts or seizure of private assets.</w:t>
      </w:r>
    </w:p>
    <w:p>
      <w:pPr>
        <w:keepNext w:val="0"/>
        <w:keepLines w:val="0"/>
        <w:numPr>
          <w:ilvl w:val="0"/>
          <w:numId w:val="90"/>
        </w:numPr>
        <w:spacing w:before="0" w:after="80" w:line="290" w:lineRule="auto"/>
        <w:ind w:left="540" w:hanging="279"/>
      </w:pPr>
      <w:r>
        <w:rPr>
          <w:rFonts w:ascii="Calibri" w:hAnsi="Calibri"/>
          <w:color w:val="17131D"/>
          <w:sz w:val="22"/>
        </w:rPr>
        <w:t>No nationwide productive-credit scoring system before privacy, discrimination, appeal, and security risks are tested.</w:t>
      </w:r>
    </w:p>
    <w:p>
      <w:pPr>
        <w:keepNext w:val="0"/>
        <w:keepLines w:val="0"/>
        <w:numPr>
          <w:ilvl w:val="0"/>
          <w:numId w:val="90"/>
        </w:numPr>
        <w:spacing w:before="0" w:after="80" w:line="290" w:lineRule="auto"/>
        <w:ind w:left="540" w:hanging="279"/>
      </w:pPr>
      <w:r>
        <w:rPr>
          <w:rFonts w:ascii="Calibri" w:hAnsi="Calibri"/>
          <w:color w:val="17131D"/>
          <w:sz w:val="22"/>
        </w:rPr>
        <w:t>No removal of safety-net support based on projected future capability.</w:t>
      </w:r>
    </w:p>
    <w:p>
      <w:pPr>
        <w:keepNext w:val="0"/>
        <w:keepLines w:val="0"/>
        <w:numPr>
          <w:ilvl w:val="0"/>
          <w:numId w:val="90"/>
        </w:numPr>
        <w:spacing w:before="0" w:after="80" w:line="290" w:lineRule="auto"/>
        <w:ind w:left="540" w:hanging="279"/>
      </w:pPr>
      <w:r>
        <w:rPr>
          <w:rFonts w:ascii="Calibri" w:hAnsi="Calibri"/>
          <w:color w:val="17131D"/>
          <w:sz w:val="22"/>
        </w:rPr>
        <w:t>No claim that one administration can guarantee a specific national price for milk, energy, housing, healthcare, or the dollar.</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shd w:fill="F1EAF5"/>
            <w:tcBorders>
              <w:top w:val="nil"/>
              <w:start w:val="single" w:sz="18" w:space="0" w:color="4E176F"/>
              <w:bottom w:val="nil"/>
              <w:end w:val="nil"/>
            </w:tcBorders>
            <w:vAlign w:val="center"/>
          </w:tcPr>
          <w:p>
            <w:pPr>
              <w:keepNext/>
              <w:keepLines w:val="0"/>
              <w:spacing w:before="0" w:after="60" w:line="240" w:lineRule="auto"/>
            </w:pPr>
            <w:r>
              <w:rPr>
                <w:rFonts w:ascii="Calibri" w:hAnsi="Calibri"/>
                <w:b/>
                <w:caps/>
                <w:color w:val="4E176F"/>
                <w:sz w:val="17"/>
              </w:rPr>
              <w:t>THE GOVERNING DISCIPLINE</w:t>
            </w:r>
          </w:p>
          <w:p>
            <w:pPr>
              <w:keepNext w:val="0"/>
              <w:keepLines w:val="0"/>
              <w:spacing w:before="0" w:after="0" w:line="288" w:lineRule="auto"/>
            </w:pPr>
            <w:r>
              <w:rPr>
                <w:rFonts w:ascii="Calibri" w:hAnsi="Calibri"/>
                <w:b/>
                <w:color w:val="17131D"/>
                <w:sz w:val="23"/>
              </w:rPr>
              <w:t>Teach the idea. Prove it in bounded places. Measure the whole result. Expand what works. Correct or stop what fails.</w:t>
            </w:r>
          </w:p>
        </w:tc>
      </w:tr>
    </w:tbl>
    <w:p>
      <w:pPr>
        <w:keepNext w:val="0"/>
        <w:keepLines w:val="0"/>
        <w:spacing w:before="0" w:after="60" w:line="240" w:lineRule="auto"/>
      </w:pPr>
    </w:p>
    <w:p>
      <w:r>
        <w:br w:type="page"/>
      </w:r>
    </w:p>
    <w:p>
      <w:pPr>
        <w:keepNext/>
        <w:keepLines w:val="0"/>
        <w:spacing w:before="160" w:after="240" w:line="240" w:lineRule="auto"/>
      </w:pPr>
      <w:r>
        <w:rPr>
          <w:rFonts w:ascii="Calibri" w:hAnsi="Calibri"/>
          <w:b/>
          <w:caps/>
          <w:color w:val="D8AE55"/>
          <w:sz w:val="19"/>
        </w:rPr>
        <w:t>CHAPTER 06</w:t>
      </w:r>
    </w:p>
    <w:p>
      <w:pPr>
        <w:keepNext/>
        <w:keepLines w:val="0"/>
        <w:spacing w:before="0" w:after="200" w:line="240" w:lineRule="auto"/>
      </w:pPr>
      <w:r>
        <w:rPr>
          <w:rFonts w:ascii="Georgia" w:hAnsi="Georgia"/>
          <w:color w:val="210D31"/>
          <w:sz w:val="54"/>
        </w:rPr>
        <w:t>The Direct Voter Value Matrix</w:t>
      </w:r>
    </w:p>
    <w:p>
      <w:pPr>
        <w:keepNext w:val="0"/>
        <w:keepLines w:val="0"/>
        <w:spacing w:before="0" w:after="480" w:line="288" w:lineRule="auto"/>
      </w:pPr>
      <w:r>
        <w:rPr>
          <w:rFonts w:ascii="Calibri" w:hAnsi="Calibri"/>
          <w:i/>
          <w:color w:val="6C2D8D"/>
          <w:sz w:val="26"/>
        </w:rPr>
        <w:t>The Purple Way is not a compromise color. It is a different test of political value: the durable power remaining with the person.</w:t>
      </w:r>
    </w:p>
    <w:p>
      <w:pPr>
        <w:keepNext w:val="0"/>
        <w:keepLines w:val="0"/>
        <w:spacing w:before="0" w:after="160" w:line="320" w:lineRule="auto"/>
        <w:jc w:val="both"/>
      </w:pPr>
      <w:r>
        <w:rPr>
          <w:rFonts w:ascii="Calibri" w:hAnsi="Calibri"/>
          <w:i w:val="0"/>
          <w:color w:val="17131D"/>
          <w:sz w:val="22"/>
        </w:rPr>
        <w:t>The table below describes broad system tendencies, not the motives of every voter, candidate, business, or public program. Real platforms vary, and any Purple candidate must still be judged by conduct, competence, law, evidence, and character.</w:t>
      </w:r>
    </w:p>
    <w:tbl>
      <w:tblPr>
        <w:tblW w:type="dxa" w:w="9360"/>
        <w:tblLayout w:type="fixed"/>
        <w:tblLook w:firstColumn="1" w:firstRow="1" w:lastColumn="0" w:lastRow="0" w:noHBand="0" w:noVBand="1" w:val="04A0"/>
        <w:jc w:val="left"/>
        <w:tblInd w:w="120" w:type="dxa"/>
      </w:tblPr>
      <w:tblGrid>
        <w:gridCol w:w="1650"/>
        <w:gridCol w:w="2350"/>
        <w:gridCol w:w="2350"/>
        <w:gridCol w:w="3010"/>
      </w:tblGrid>
      <w:tr>
        <w:trPr>
          <w:tblHeader w:val="true"/>
        </w:trPr>
        <w:tc>
          <w:tcPr>
            <w:tcW w:type="dxa" w:w="1650"/>
            <w:tcMar>
              <w:top w:w="100" w:type="dxa"/>
              <w:start w:w="140" w:type="dxa"/>
              <w:bottom w:w="100" w:type="dxa"/>
              <w:end w:w="140" w:type="dxa"/>
            </w:tcMar>
            <w:shd w:fill="210D31"/>
            <w:vAlign w:val="center"/>
          </w:tcPr>
          <w:p>
            <w:pPr>
              <w:keepNext w:val="0"/>
              <w:keepLines w:val="0"/>
              <w:spacing w:before="0" w:after="0" w:line="240" w:lineRule="auto"/>
              <w:jc w:val="center"/>
            </w:pPr>
            <w:r>
              <w:rPr>
                <w:rFonts w:ascii="Calibri" w:hAnsi="Calibri"/>
                <w:b/>
                <w:color w:val="FFFDF8"/>
                <w:sz w:val="17"/>
              </w:rPr>
              <w:t>Value metric</w:t>
            </w:r>
          </w:p>
        </w:tc>
        <w:tc>
          <w:tcPr>
            <w:tcW w:type="dxa" w:w="2350"/>
            <w:tcMar>
              <w:top w:w="100" w:type="dxa"/>
              <w:start w:w="140" w:type="dxa"/>
              <w:bottom w:w="100" w:type="dxa"/>
              <w:end w:w="140" w:type="dxa"/>
            </w:tcMar>
            <w:shd w:fill="210D31"/>
            <w:vAlign w:val="center"/>
          </w:tcPr>
          <w:p>
            <w:pPr>
              <w:keepNext w:val="0"/>
              <w:keepLines w:val="0"/>
              <w:spacing w:before="0" w:after="0" w:line="240" w:lineRule="auto"/>
              <w:jc w:val="center"/>
            </w:pPr>
            <w:r>
              <w:rPr>
                <w:rFonts w:ascii="Calibri" w:hAnsi="Calibri"/>
                <w:b/>
                <w:color w:val="FFFDF8"/>
                <w:sz w:val="17"/>
              </w:rPr>
              <w:t>Blue tendency</w:t>
            </w:r>
          </w:p>
        </w:tc>
        <w:tc>
          <w:tcPr>
            <w:tcW w:type="dxa" w:w="2350"/>
            <w:tcMar>
              <w:top w:w="100" w:type="dxa"/>
              <w:start w:w="140" w:type="dxa"/>
              <w:bottom w:w="100" w:type="dxa"/>
              <w:end w:w="140" w:type="dxa"/>
            </w:tcMar>
            <w:shd w:fill="210D31"/>
            <w:vAlign w:val="center"/>
          </w:tcPr>
          <w:p>
            <w:pPr>
              <w:keepNext w:val="0"/>
              <w:keepLines w:val="0"/>
              <w:spacing w:before="0" w:after="0" w:line="240" w:lineRule="auto"/>
              <w:jc w:val="center"/>
            </w:pPr>
            <w:r>
              <w:rPr>
                <w:rFonts w:ascii="Calibri" w:hAnsi="Calibri"/>
                <w:b/>
                <w:color w:val="FFFDF8"/>
                <w:sz w:val="17"/>
              </w:rPr>
              <w:t>Red tendency</w:t>
            </w:r>
          </w:p>
        </w:tc>
        <w:tc>
          <w:tcPr>
            <w:tcW w:type="dxa" w:w="3010"/>
            <w:tcMar>
              <w:top w:w="100" w:type="dxa"/>
              <w:start w:w="140" w:type="dxa"/>
              <w:bottom w:w="100" w:type="dxa"/>
              <w:end w:w="140" w:type="dxa"/>
            </w:tcMar>
            <w:shd w:fill="210D31"/>
            <w:vAlign w:val="center"/>
          </w:tcPr>
          <w:p>
            <w:pPr>
              <w:keepNext w:val="0"/>
              <w:keepLines w:val="0"/>
              <w:spacing w:before="0" w:after="0" w:line="240" w:lineRule="auto"/>
              <w:jc w:val="center"/>
            </w:pPr>
            <w:r>
              <w:rPr>
                <w:rFonts w:ascii="Calibri" w:hAnsi="Calibri"/>
                <w:b/>
                <w:color w:val="FFFDF8"/>
                <w:sz w:val="17"/>
              </w:rPr>
              <w:t>Purple standard</w:t>
            </w:r>
          </w:p>
        </w:tc>
      </w:tr>
      <w:tr>
        <w:tc>
          <w:tcPr>
            <w:tcW w:type="dxa" w:w="1650"/>
            <w:vAlign w:val="center"/>
            <w:tcMar>
              <w:top w:w="100" w:type="dxa"/>
              <w:start w:w="140" w:type="dxa"/>
              <w:bottom w:w="100" w:type="dxa"/>
              <w:end w:w="140" w:type="dxa"/>
            </w:tcMar>
          </w:tcPr>
          <w:p>
            <w:pPr>
              <w:keepNext w:val="0"/>
              <w:keepLines w:val="0"/>
              <w:spacing w:before="0" w:after="0" w:line="264" w:lineRule="auto"/>
              <w:jc w:val="left"/>
            </w:pPr>
            <w:r>
              <w:rPr>
                <w:rFonts w:ascii="Calibri" w:hAnsi="Calibri"/>
                <w:b/>
                <w:color w:val="210D31"/>
                <w:sz w:val="16"/>
              </w:rPr>
              <w:t>Voter leverage</w:t>
            </w:r>
          </w:p>
        </w:tc>
        <w:tc>
          <w:tcPr>
            <w:tcW w:type="dxa" w:w="2350"/>
            <w:vAlign w:val="center"/>
            <w:shd w:fill="EAF0F8"/>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Program promises and political pressure</w:t>
            </w:r>
          </w:p>
        </w:tc>
        <w:tc>
          <w:tcPr>
            <w:tcW w:type="dxa" w:w="2350"/>
            <w:vAlign w:val="center"/>
            <w:shd w:fill="F7EAEA"/>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Market promises and electoral pressure</w:t>
            </w:r>
          </w:p>
        </w:tc>
        <w:tc>
          <w:tcPr>
            <w:tcW w:type="dxa" w:w="3010"/>
            <w:vAlign w:val="center"/>
            <w:shd w:fill="F1EAF5"/>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Published covenant, baselines, audits, correction duties, lawful consequences</w:t>
            </w:r>
          </w:p>
        </w:tc>
      </w:tr>
      <w:tr>
        <w:tc>
          <w:tcPr>
            <w:tcW w:type="dxa" w:w="1650"/>
            <w:vAlign w:val="center"/>
            <w:tcMar>
              <w:top w:w="100" w:type="dxa"/>
              <w:start w:w="140" w:type="dxa"/>
              <w:bottom w:w="100" w:type="dxa"/>
              <w:end w:w="140" w:type="dxa"/>
            </w:tcMar>
          </w:tcPr>
          <w:p>
            <w:pPr>
              <w:keepNext w:val="0"/>
              <w:keepLines w:val="0"/>
              <w:spacing w:before="0" w:after="0" w:line="264" w:lineRule="auto"/>
              <w:jc w:val="left"/>
            </w:pPr>
            <w:r>
              <w:rPr>
                <w:rFonts w:ascii="Calibri" w:hAnsi="Calibri"/>
                <w:b/>
                <w:color w:val="210D31"/>
                <w:sz w:val="16"/>
              </w:rPr>
              <w:t>Primary strength</w:t>
            </w:r>
          </w:p>
        </w:tc>
        <w:tc>
          <w:tcPr>
            <w:tcW w:type="dxa" w:w="2350"/>
            <w:vAlign w:val="center"/>
            <w:shd w:fill="EAF0F8"/>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Immediate protection and pooled public action</w:t>
            </w:r>
          </w:p>
        </w:tc>
        <w:tc>
          <w:tcPr>
            <w:tcW w:type="dxa" w:w="2350"/>
            <w:vAlign w:val="center"/>
            <w:shd w:fill="F7EAEA"/>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Enterprise, private initiative, and formal liberty</w:t>
            </w:r>
          </w:p>
        </w:tc>
        <w:tc>
          <w:tcPr>
            <w:tcW w:type="dxa" w:w="3010"/>
            <w:vAlign w:val="center"/>
            <w:shd w:fill="F1EAF5"/>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Protection joined to capability, ownership, and measurable exit power</w:t>
            </w:r>
          </w:p>
        </w:tc>
      </w:tr>
      <w:tr>
        <w:tc>
          <w:tcPr>
            <w:tcW w:type="dxa" w:w="1650"/>
            <w:vAlign w:val="center"/>
            <w:tcMar>
              <w:top w:w="100" w:type="dxa"/>
              <w:start w:w="140" w:type="dxa"/>
              <w:bottom w:w="100" w:type="dxa"/>
              <w:end w:w="140" w:type="dxa"/>
            </w:tcMar>
          </w:tcPr>
          <w:p>
            <w:pPr>
              <w:keepNext w:val="0"/>
              <w:keepLines w:val="0"/>
              <w:spacing w:before="0" w:after="0" w:line="264" w:lineRule="auto"/>
              <w:jc w:val="left"/>
            </w:pPr>
            <w:r>
              <w:rPr>
                <w:rFonts w:ascii="Calibri" w:hAnsi="Calibri"/>
                <w:b/>
                <w:color w:val="210D31"/>
                <w:sz w:val="16"/>
              </w:rPr>
              <w:t>Recurring risk</w:t>
            </w:r>
          </w:p>
        </w:tc>
        <w:tc>
          <w:tcPr>
            <w:tcW w:type="dxa" w:w="2350"/>
            <w:vAlign w:val="center"/>
            <w:shd w:fill="EAF0F8"/>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Program dependence and spending as a proxy for progress</w:t>
            </w:r>
          </w:p>
        </w:tc>
        <w:tc>
          <w:tcPr>
            <w:tcW w:type="dxa" w:w="2350"/>
            <w:vAlign w:val="center"/>
            <w:shd w:fill="F7EAEA"/>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Corporate concentration and liberty without usable capability</w:t>
            </w:r>
          </w:p>
        </w:tc>
        <w:tc>
          <w:tcPr>
            <w:tcW w:type="dxa" w:w="3010"/>
            <w:vAlign w:val="center"/>
            <w:shd w:fill="F1EAF5"/>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Overpromising metrics or centralizing power in the name of accountability</w:t>
            </w:r>
          </w:p>
        </w:tc>
      </w:tr>
      <w:tr>
        <w:tc>
          <w:tcPr>
            <w:tcW w:type="dxa" w:w="1650"/>
            <w:vAlign w:val="center"/>
            <w:tcMar>
              <w:top w:w="100" w:type="dxa"/>
              <w:start w:w="140" w:type="dxa"/>
              <w:bottom w:w="100" w:type="dxa"/>
              <w:end w:w="140" w:type="dxa"/>
            </w:tcMar>
          </w:tcPr>
          <w:p>
            <w:pPr>
              <w:keepNext w:val="0"/>
              <w:keepLines w:val="0"/>
              <w:spacing w:before="0" w:after="0" w:line="264" w:lineRule="auto"/>
              <w:jc w:val="left"/>
            </w:pPr>
            <w:r>
              <w:rPr>
                <w:rFonts w:ascii="Calibri" w:hAnsi="Calibri"/>
                <w:b/>
                <w:color w:val="210D31"/>
                <w:sz w:val="16"/>
              </w:rPr>
              <w:t>Household test</w:t>
            </w:r>
          </w:p>
        </w:tc>
        <w:tc>
          <w:tcPr>
            <w:tcW w:type="dxa" w:w="2350"/>
            <w:vAlign w:val="center"/>
            <w:shd w:fill="EAF0F8"/>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Access to public support</w:t>
            </w:r>
          </w:p>
        </w:tc>
        <w:tc>
          <w:tcPr>
            <w:tcW w:type="dxa" w:w="2350"/>
            <w:vAlign w:val="center"/>
            <w:shd w:fill="F7EAEA"/>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Access to jobs and markets</w:t>
            </w:r>
          </w:p>
        </w:tc>
        <w:tc>
          <w:tcPr>
            <w:tcW w:type="dxa" w:w="3010"/>
            <w:vAlign w:val="center"/>
            <w:shd w:fill="F1EAF5"/>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Purchasing power, monthly surplus, productive assets, choice, and resilience</w:t>
            </w:r>
          </w:p>
        </w:tc>
      </w:tr>
      <w:tr>
        <w:tc>
          <w:tcPr>
            <w:tcW w:type="dxa" w:w="1650"/>
            <w:vAlign w:val="center"/>
            <w:tcMar>
              <w:top w:w="100" w:type="dxa"/>
              <w:start w:w="140" w:type="dxa"/>
              <w:bottom w:w="100" w:type="dxa"/>
              <w:end w:w="140" w:type="dxa"/>
            </w:tcMar>
          </w:tcPr>
          <w:p>
            <w:pPr>
              <w:keepNext w:val="0"/>
              <w:keepLines w:val="0"/>
              <w:spacing w:before="0" w:after="0" w:line="264" w:lineRule="auto"/>
              <w:jc w:val="left"/>
            </w:pPr>
            <w:r>
              <w:rPr>
                <w:rFonts w:ascii="Calibri" w:hAnsi="Calibri"/>
                <w:b/>
                <w:color w:val="210D31"/>
                <w:sz w:val="16"/>
              </w:rPr>
              <w:t>Credit direction</w:t>
            </w:r>
          </w:p>
        </w:tc>
        <w:tc>
          <w:tcPr>
            <w:tcW w:type="dxa" w:w="2350"/>
            <w:vAlign w:val="center"/>
            <w:shd w:fill="EAF0F8"/>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Public relief and policy-directed lending</w:t>
            </w:r>
          </w:p>
        </w:tc>
        <w:tc>
          <w:tcPr>
            <w:tcW w:type="dxa" w:w="2350"/>
            <w:vAlign w:val="center"/>
            <w:shd w:fill="F7EAEA"/>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Commercial lending and asset finance</w:t>
            </w:r>
          </w:p>
        </w:tc>
        <w:tc>
          <w:tcPr>
            <w:tcW w:type="dxa" w:w="3010"/>
            <w:vAlign w:val="center"/>
            <w:shd w:fill="F1EAF5"/>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Competitive productive credit tied to skill, tools, output, repayment, and ownership</w:t>
            </w:r>
          </w:p>
        </w:tc>
      </w:tr>
      <w:tr>
        <w:tc>
          <w:tcPr>
            <w:tcW w:type="dxa" w:w="1650"/>
            <w:vAlign w:val="center"/>
            <w:tcMar>
              <w:top w:w="100" w:type="dxa"/>
              <w:start w:w="140" w:type="dxa"/>
              <w:bottom w:w="100" w:type="dxa"/>
              <w:end w:w="140" w:type="dxa"/>
            </w:tcMar>
          </w:tcPr>
          <w:p>
            <w:pPr>
              <w:keepNext w:val="0"/>
              <w:keepLines w:val="0"/>
              <w:spacing w:before="0" w:after="0" w:line="264" w:lineRule="auto"/>
              <w:jc w:val="left"/>
            </w:pPr>
            <w:r>
              <w:rPr>
                <w:rFonts w:ascii="Calibri" w:hAnsi="Calibri"/>
                <w:b/>
                <w:color w:val="210D31"/>
                <w:sz w:val="16"/>
              </w:rPr>
              <w:t>Failure response</w:t>
            </w:r>
          </w:p>
        </w:tc>
        <w:tc>
          <w:tcPr>
            <w:tcW w:type="dxa" w:w="2350"/>
            <w:vAlign w:val="center"/>
            <w:shd w:fill="EAF0F8"/>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Expand or redesign the program</w:t>
            </w:r>
          </w:p>
        </w:tc>
        <w:tc>
          <w:tcPr>
            <w:tcW w:type="dxa" w:w="2350"/>
            <w:vAlign w:val="center"/>
            <w:shd w:fill="F7EAEA"/>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Deregulate, subsidize, or let markets adjust</w:t>
            </w:r>
          </w:p>
        </w:tc>
        <w:tc>
          <w:tcPr>
            <w:tcW w:type="dxa" w:w="3010"/>
            <w:vAlign w:val="center"/>
            <w:shd w:fill="F1EAF5"/>
            <w:tcMar>
              <w:top w:w="100" w:type="dxa"/>
              <w:start w:w="140" w:type="dxa"/>
              <w:bottom w:w="100" w:type="dxa"/>
              <w:end w:w="140" w:type="dxa"/>
            </w:tcMar>
          </w:tcPr>
          <w:p>
            <w:pPr>
              <w:keepNext w:val="0"/>
              <w:keepLines w:val="0"/>
              <w:spacing w:before="0" w:after="0" w:line="264" w:lineRule="auto"/>
              <w:jc w:val="left"/>
            </w:pPr>
            <w:r>
              <w:rPr>
                <w:rFonts w:ascii="Calibri" w:hAnsi="Calibri"/>
                <w:b w:val="0"/>
                <w:color w:val="17131D"/>
                <w:sz w:val="16"/>
              </w:rPr>
              <w:t>Publish evidence; protect people; correct, pause, terminate, or repay through lawful clawbacks</w:t>
            </w:r>
          </w:p>
        </w:tc>
      </w:tr>
    </w:tbl>
    <w:p>
      <w:pPr>
        <w:pStyle w:val="Heading2"/>
      </w:pPr>
      <w:r>
        <w:t>The meaning of the Purple choice</w:t>
      </w:r>
    </w:p>
    <w:p>
      <w:pPr>
        <w:keepNext w:val="0"/>
        <w:keepLines w:val="0"/>
        <w:spacing w:before="0" w:after="160" w:line="320" w:lineRule="auto"/>
        <w:jc w:val="both"/>
      </w:pPr>
      <w:r>
        <w:rPr>
          <w:rFonts w:ascii="Calibri" w:hAnsi="Calibri"/>
          <w:i w:val="0"/>
          <w:color w:val="17131D"/>
          <w:sz w:val="22"/>
        </w:rPr>
        <w:t>A Purple vote should mean more than anger at both parties. It should mean consenting to a stricter standard: the candidate must protect constitutional government, respect pluralism, disclose the limits of presidential power, build measurable human capability, reduce real household burdens, distribute ownership, and accept correction when evidence contradicts the theory.</w:t>
      </w:r>
    </w:p>
    <w:p>
      <w:r>
        <w:br w:type="page"/>
      </w:r>
    </w:p>
    <w:p>
      <w:pPr>
        <w:keepNext/>
        <w:keepLines w:val="0"/>
        <w:spacing w:before="160" w:after="240" w:line="240" w:lineRule="auto"/>
      </w:pPr>
      <w:r>
        <w:rPr>
          <w:rFonts w:ascii="Calibri" w:hAnsi="Calibri"/>
          <w:b/>
          <w:caps/>
          <w:color w:val="D8AE55"/>
          <w:sz w:val="19"/>
        </w:rPr>
        <w:t>CHAPTER 07</w:t>
      </w:r>
    </w:p>
    <w:p>
      <w:pPr>
        <w:keepNext/>
        <w:keepLines w:val="0"/>
        <w:spacing w:before="0" w:after="200" w:line="240" w:lineRule="auto"/>
      </w:pPr>
      <w:r>
        <w:rPr>
          <w:rFonts w:ascii="Georgia" w:hAnsi="Georgia"/>
          <w:color w:val="210D31"/>
          <w:sz w:val="54"/>
        </w:rPr>
        <w:t>The Purple Candidate Test</w:t>
      </w:r>
    </w:p>
    <w:p>
      <w:pPr>
        <w:keepNext w:val="0"/>
        <w:keepLines w:val="0"/>
        <w:spacing w:before="0" w:after="480" w:line="288" w:lineRule="auto"/>
      </w:pPr>
      <w:r>
        <w:rPr>
          <w:rFonts w:ascii="Calibri" w:hAnsi="Calibri"/>
          <w:i/>
          <w:color w:val="6C2D8D"/>
          <w:sz w:val="26"/>
        </w:rPr>
        <w:t>A label is not a covenant. Before granting power, the sovereign voter should demand answers that can survive daylight.</w:t>
      </w:r>
    </w:p>
    <w:p>
      <w:pPr>
        <w:keepNext w:val="0"/>
        <w:keepLines w:val="0"/>
        <w:numPr>
          <w:ilvl w:val="0"/>
          <w:numId w:val="91"/>
        </w:numPr>
        <w:spacing w:before="0" w:after="80" w:line="290" w:lineRule="auto"/>
        <w:ind w:left="540" w:hanging="279"/>
      </w:pPr>
      <w:r>
        <w:rPr>
          <w:rFonts w:ascii="Calibri" w:hAnsi="Calibri"/>
          <w:color w:val="17131D"/>
          <w:sz w:val="22"/>
        </w:rPr>
        <w:t>What exact legal authority supports each first-year action, and which actions require Congress or state cooperation?</w:t>
      </w:r>
    </w:p>
    <w:p>
      <w:pPr>
        <w:keepNext w:val="0"/>
        <w:keepLines w:val="0"/>
        <w:numPr>
          <w:ilvl w:val="0"/>
          <w:numId w:val="91"/>
        </w:numPr>
        <w:spacing w:before="0" w:after="80" w:line="290" w:lineRule="auto"/>
        <w:ind w:left="540" w:hanging="279"/>
      </w:pPr>
      <w:r>
        <w:rPr>
          <w:rFonts w:ascii="Calibri" w:hAnsi="Calibri"/>
          <w:color w:val="17131D"/>
          <w:sz w:val="22"/>
        </w:rPr>
        <w:t>What are the baselines for purchasing power, household surplus, infrastructure efficiency, and dependency contraction?</w:t>
      </w:r>
    </w:p>
    <w:p>
      <w:pPr>
        <w:keepNext w:val="0"/>
        <w:keepLines w:val="0"/>
        <w:numPr>
          <w:ilvl w:val="0"/>
          <w:numId w:val="91"/>
        </w:numPr>
        <w:spacing w:before="0" w:after="80" w:line="290" w:lineRule="auto"/>
        <w:ind w:left="540" w:hanging="279"/>
      </w:pPr>
      <w:r>
        <w:rPr>
          <w:rFonts w:ascii="Calibri" w:hAnsi="Calibri"/>
          <w:color w:val="17131D"/>
          <w:sz w:val="22"/>
        </w:rPr>
        <w:t>Who chooses the metrics, who audits them, and how can independent researchers reproduce the results?</w:t>
      </w:r>
    </w:p>
    <w:p>
      <w:pPr>
        <w:keepNext w:val="0"/>
        <w:keepLines w:val="0"/>
        <w:numPr>
          <w:ilvl w:val="0"/>
          <w:numId w:val="91"/>
        </w:numPr>
        <w:spacing w:before="0" w:after="80" w:line="290" w:lineRule="auto"/>
        <w:ind w:left="540" w:hanging="279"/>
      </w:pPr>
      <w:r>
        <w:rPr>
          <w:rFonts w:ascii="Calibri" w:hAnsi="Calibri"/>
          <w:color w:val="17131D"/>
          <w:sz w:val="22"/>
        </w:rPr>
        <w:t>What constitutional rights, privacy limits, due-process rules, and civil-rights protections are non-negotiable?</w:t>
      </w:r>
    </w:p>
    <w:p>
      <w:pPr>
        <w:keepNext w:val="0"/>
        <w:keepLines w:val="0"/>
        <w:numPr>
          <w:ilvl w:val="0"/>
          <w:numId w:val="91"/>
        </w:numPr>
        <w:spacing w:before="0" w:after="80" w:line="290" w:lineRule="auto"/>
        <w:ind w:left="540" w:hanging="279"/>
      </w:pPr>
      <w:r>
        <w:rPr>
          <w:rFonts w:ascii="Calibri" w:hAnsi="Calibri"/>
          <w:color w:val="17131D"/>
          <w:sz w:val="22"/>
        </w:rPr>
        <w:t>How will Public Benefit Exchanges prevent favoritism, monopoly, corporate welfare, and hidden amendments?</w:t>
      </w:r>
    </w:p>
    <w:p>
      <w:pPr>
        <w:keepNext w:val="0"/>
        <w:keepLines w:val="0"/>
        <w:numPr>
          <w:ilvl w:val="0"/>
          <w:numId w:val="91"/>
        </w:numPr>
        <w:spacing w:before="0" w:after="80" w:line="290" w:lineRule="auto"/>
        <w:ind w:left="540" w:hanging="279"/>
      </w:pPr>
      <w:r>
        <w:rPr>
          <w:rFonts w:ascii="Calibri" w:hAnsi="Calibri"/>
          <w:color w:val="17131D"/>
          <w:sz w:val="22"/>
        </w:rPr>
        <w:t>What happens to a pilot that lowers headline prices but also reduces quality, access, wages, safety, or competition?</w:t>
      </w:r>
    </w:p>
    <w:p>
      <w:pPr>
        <w:keepNext w:val="0"/>
        <w:keepLines w:val="0"/>
        <w:numPr>
          <w:ilvl w:val="0"/>
          <w:numId w:val="91"/>
        </w:numPr>
        <w:spacing w:before="0" w:after="80" w:line="290" w:lineRule="auto"/>
        <w:ind w:left="540" w:hanging="279"/>
      </w:pPr>
      <w:r>
        <w:rPr>
          <w:rFonts w:ascii="Calibri" w:hAnsi="Calibri"/>
          <w:color w:val="17131D"/>
          <w:sz w:val="22"/>
        </w:rPr>
        <w:t>How will productive credit serve people with thin files, disabilities, interrupted work histories, or no political connections?</w:t>
      </w:r>
    </w:p>
    <w:p>
      <w:pPr>
        <w:keepNext w:val="0"/>
        <w:keepLines w:val="0"/>
        <w:numPr>
          <w:ilvl w:val="0"/>
          <w:numId w:val="91"/>
        </w:numPr>
        <w:spacing w:before="0" w:after="80" w:line="290" w:lineRule="auto"/>
        <w:ind w:left="540" w:hanging="279"/>
      </w:pPr>
      <w:r>
        <w:rPr>
          <w:rFonts w:ascii="Calibri" w:hAnsi="Calibri"/>
          <w:color w:val="17131D"/>
          <w:sz w:val="22"/>
        </w:rPr>
        <w:t>How can an applicant appeal a Capacity Growth Profile decision and correct inaccurate data?</w:t>
      </w:r>
    </w:p>
    <w:p>
      <w:pPr>
        <w:keepNext w:val="0"/>
        <w:keepLines w:val="0"/>
        <w:numPr>
          <w:ilvl w:val="0"/>
          <w:numId w:val="91"/>
        </w:numPr>
        <w:spacing w:before="0" w:after="80" w:line="290" w:lineRule="auto"/>
        <w:ind w:left="540" w:hanging="279"/>
      </w:pPr>
      <w:r>
        <w:rPr>
          <w:rFonts w:ascii="Calibri" w:hAnsi="Calibri"/>
          <w:color w:val="17131D"/>
          <w:sz w:val="22"/>
        </w:rPr>
        <w:t>What evidence would cause the candidate to pause, reverse, or abandon a favored policy?</w:t>
      </w:r>
    </w:p>
    <w:p>
      <w:pPr>
        <w:keepNext w:val="0"/>
        <w:keepLines w:val="0"/>
        <w:numPr>
          <w:ilvl w:val="0"/>
          <w:numId w:val="91"/>
        </w:numPr>
        <w:spacing w:before="0" w:after="80" w:line="290" w:lineRule="auto"/>
        <w:ind w:left="540" w:hanging="279"/>
      </w:pPr>
      <w:r>
        <w:rPr>
          <w:rFonts w:ascii="Calibri" w:hAnsi="Calibri"/>
          <w:color w:val="17131D"/>
          <w:sz w:val="22"/>
        </w:rPr>
        <w:t>How will the plan protect deposits, credit access, payments, and financial stability during any banking transition?</w:t>
      </w:r>
    </w:p>
    <w:p>
      <w:pPr>
        <w:keepNext w:val="0"/>
        <w:keepLines w:val="0"/>
        <w:numPr>
          <w:ilvl w:val="0"/>
          <w:numId w:val="91"/>
        </w:numPr>
        <w:spacing w:before="0" w:after="80" w:line="290" w:lineRule="auto"/>
        <w:ind w:left="540" w:hanging="279"/>
      </w:pPr>
      <w:r>
        <w:rPr>
          <w:rFonts w:ascii="Calibri" w:hAnsi="Calibri"/>
          <w:color w:val="17131D"/>
          <w:sz w:val="22"/>
        </w:rPr>
        <w:t>What support remains for people who cannot become fully independent, and how is dignity protected?</w:t>
      </w:r>
    </w:p>
    <w:p>
      <w:pPr>
        <w:keepNext w:val="0"/>
        <w:keepLines w:val="0"/>
        <w:numPr>
          <w:ilvl w:val="0"/>
          <w:numId w:val="91"/>
        </w:numPr>
        <w:spacing w:before="0" w:after="80" w:line="290" w:lineRule="auto"/>
        <w:ind w:left="540" w:hanging="279"/>
      </w:pPr>
      <w:r>
        <w:rPr>
          <w:rFonts w:ascii="Calibri" w:hAnsi="Calibri"/>
          <w:color w:val="17131D"/>
          <w:sz w:val="22"/>
        </w:rPr>
        <w:t>Will the candidate publish costs, failures, conflicts, and missed targets as clearly as claimed successes?</w:t>
      </w:r>
    </w:p>
    <w:p>
      <w:r>
        <w:br w:type="page"/>
      </w:r>
    </w:p>
    <w:p>
      <w:pPr>
        <w:pStyle w:val="Heading2"/>
      </w:pPr>
      <w:r>
        <w:t>The voter should reject these answers</w:t>
      </w:r>
    </w:p>
    <w:p>
      <w:pPr>
        <w:keepNext w:val="0"/>
        <w:keepLines w:val="0"/>
        <w:numPr>
          <w:ilvl w:val="0"/>
          <w:numId w:val="90"/>
        </w:numPr>
        <w:spacing w:before="0" w:after="80" w:line="290" w:lineRule="auto"/>
        <w:ind w:left="540" w:hanging="279"/>
      </w:pPr>
      <w:r>
        <w:rPr>
          <w:rFonts w:ascii="Calibri" w:hAnsi="Calibri"/>
          <w:color w:val="17131D"/>
          <w:sz w:val="22"/>
        </w:rPr>
        <w:t>Trust me.</w:t>
      </w:r>
    </w:p>
    <w:p>
      <w:pPr>
        <w:keepNext w:val="0"/>
        <w:keepLines w:val="0"/>
        <w:numPr>
          <w:ilvl w:val="0"/>
          <w:numId w:val="90"/>
        </w:numPr>
        <w:spacing w:before="0" w:after="80" w:line="290" w:lineRule="auto"/>
        <w:ind w:left="540" w:hanging="279"/>
      </w:pPr>
      <w:r>
        <w:rPr>
          <w:rFonts w:ascii="Calibri" w:hAnsi="Calibri"/>
          <w:color w:val="17131D"/>
          <w:sz w:val="22"/>
        </w:rPr>
        <w:t>The Constitution will not matter once the people vote for the plan.</w:t>
      </w:r>
    </w:p>
    <w:p>
      <w:pPr>
        <w:keepNext w:val="0"/>
        <w:keepLines w:val="0"/>
        <w:numPr>
          <w:ilvl w:val="0"/>
          <w:numId w:val="90"/>
        </w:numPr>
        <w:spacing w:before="0" w:after="80" w:line="290" w:lineRule="auto"/>
        <w:ind w:left="540" w:hanging="279"/>
      </w:pPr>
      <w:r>
        <w:rPr>
          <w:rFonts w:ascii="Calibri" w:hAnsi="Calibri"/>
          <w:color w:val="17131D"/>
          <w:sz w:val="22"/>
        </w:rPr>
        <w:t>Any opposition proves corruption.</w:t>
      </w:r>
    </w:p>
    <w:p>
      <w:pPr>
        <w:keepNext w:val="0"/>
        <w:keepLines w:val="0"/>
        <w:numPr>
          <w:ilvl w:val="0"/>
          <w:numId w:val="90"/>
        </w:numPr>
        <w:spacing w:before="0" w:after="80" w:line="290" w:lineRule="auto"/>
        <w:ind w:left="540" w:hanging="279"/>
      </w:pPr>
      <w:r>
        <w:rPr>
          <w:rFonts w:ascii="Calibri" w:hAnsi="Calibri"/>
          <w:color w:val="17131D"/>
          <w:sz w:val="22"/>
        </w:rPr>
        <w:t>We will define success after the program begins.</w:t>
      </w:r>
    </w:p>
    <w:p>
      <w:pPr>
        <w:keepNext w:val="0"/>
        <w:keepLines w:val="0"/>
        <w:numPr>
          <w:ilvl w:val="0"/>
          <w:numId w:val="90"/>
        </w:numPr>
        <w:spacing w:before="0" w:after="80" w:line="290" w:lineRule="auto"/>
        <w:ind w:left="540" w:hanging="279"/>
      </w:pPr>
      <w:r>
        <w:rPr>
          <w:rFonts w:ascii="Calibri" w:hAnsi="Calibri"/>
          <w:color w:val="17131D"/>
          <w:sz w:val="22"/>
        </w:rPr>
        <w:t>Temporary harm is acceptable because the long-term theory must be right.</w:t>
      </w:r>
    </w:p>
    <w:p>
      <w:pPr>
        <w:keepNext w:val="0"/>
        <w:keepLines w:val="0"/>
        <w:numPr>
          <w:ilvl w:val="0"/>
          <w:numId w:val="90"/>
        </w:numPr>
        <w:spacing w:before="0" w:after="80" w:line="290" w:lineRule="auto"/>
        <w:ind w:left="540" w:hanging="279"/>
      </w:pPr>
      <w:r>
        <w:rPr>
          <w:rFonts w:ascii="Calibri" w:hAnsi="Calibri"/>
          <w:color w:val="17131D"/>
          <w:sz w:val="22"/>
        </w:rPr>
        <w:t>The technology or algorithm is objective, so appeals and human review are unnecessary.</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shd w:fill="F1EAF5"/>
            <w:tcBorders>
              <w:top w:val="nil"/>
              <w:start w:val="single" w:sz="18" w:space="0" w:color="4E176F"/>
              <w:bottom w:val="nil"/>
              <w:end w:val="nil"/>
            </w:tcBorders>
            <w:vAlign w:val="center"/>
          </w:tcPr>
          <w:p>
            <w:pPr>
              <w:keepNext/>
              <w:keepLines w:val="0"/>
              <w:spacing w:before="0" w:after="60" w:line="240" w:lineRule="auto"/>
            </w:pPr>
            <w:r>
              <w:rPr>
                <w:rFonts w:ascii="Calibri" w:hAnsi="Calibri"/>
                <w:b/>
                <w:caps/>
                <w:color w:val="4E176F"/>
                <w:sz w:val="17"/>
              </w:rPr>
              <w:t>THE SOVEREIGN STANDARD</w:t>
            </w:r>
          </w:p>
          <w:p>
            <w:pPr>
              <w:keepNext w:val="0"/>
              <w:keepLines w:val="0"/>
              <w:spacing w:before="0" w:after="0" w:line="288" w:lineRule="auto"/>
            </w:pPr>
            <w:r>
              <w:rPr>
                <w:rFonts w:ascii="Calibri" w:hAnsi="Calibri"/>
                <w:b/>
                <w:color w:val="17131D"/>
                <w:sz w:val="23"/>
              </w:rPr>
              <w:t>A candidate who asks to govern by contract must be more transparent, more limited, and more correctable than the political system being criticized.</w:t>
            </w:r>
          </w:p>
        </w:tc>
      </w:tr>
    </w:tbl>
    <w:p>
      <w:pPr>
        <w:keepNext w:val="0"/>
        <w:keepLines w:val="0"/>
        <w:spacing w:before="0" w:after="60" w:line="240" w:lineRule="auto"/>
      </w:pPr>
    </w:p>
    <w:p>
      <w:r>
        <w:br w:type="page"/>
      </w:r>
    </w:p>
    <w:p>
      <w:pPr>
        <w:keepNext/>
        <w:keepLines w:val="0"/>
        <w:spacing w:before="160" w:after="240" w:line="240" w:lineRule="auto"/>
      </w:pPr>
      <w:r>
        <w:rPr>
          <w:rFonts w:ascii="Calibri" w:hAnsi="Calibri"/>
          <w:b/>
          <w:caps/>
          <w:color w:val="D8AE55"/>
          <w:sz w:val="19"/>
        </w:rPr>
        <w:t>CHAPTER 08</w:t>
      </w:r>
    </w:p>
    <w:p>
      <w:pPr>
        <w:keepNext/>
        <w:keepLines w:val="0"/>
        <w:spacing w:before="0" w:after="200" w:line="240" w:lineRule="auto"/>
      </w:pPr>
      <w:r>
        <w:rPr>
          <w:rFonts w:ascii="Georgia" w:hAnsi="Georgia"/>
          <w:color w:val="210D31"/>
          <w:sz w:val="54"/>
        </w:rPr>
        <w:t>Claim Your Autonomy</w:t>
      </w:r>
    </w:p>
    <w:p>
      <w:pPr>
        <w:keepNext w:val="0"/>
        <w:keepLines w:val="0"/>
        <w:spacing w:before="0" w:after="480" w:line="288" w:lineRule="auto"/>
      </w:pPr>
      <w:r>
        <w:rPr>
          <w:rFonts w:ascii="Calibri" w:hAnsi="Calibri"/>
          <w:i/>
          <w:color w:val="6C2D8D"/>
          <w:sz w:val="26"/>
        </w:rPr>
        <w:t>The final choice is not merely left or right. It is whether political power will continually manage dependence or deliberately build the citizen's capacity to stand.</w:t>
      </w:r>
    </w:p>
    <w:p>
      <w:pPr>
        <w:keepNext w:val="0"/>
        <w:keepLines w:val="0"/>
        <w:spacing w:before="0" w:after="160" w:line="320" w:lineRule="auto"/>
        <w:jc w:val="both"/>
      </w:pPr>
      <w:r>
        <w:rPr>
          <w:rFonts w:ascii="Calibri" w:hAnsi="Calibri"/>
          <w:i w:val="0"/>
          <w:color w:val="17131D"/>
          <w:sz w:val="22"/>
        </w:rPr>
        <w:t>The Red and Blue systems contain valuable traditions, institutions, public servants, businesses, protections, freedoms, and citizens. The Purple Way need not deny those contributions to argue that the country requires a different destination. The case for Purple is that protection, liberty, enterprise, public investment, banking, technology, and infrastructure should converge on one measurable result: a stronger person.</w:t>
      </w:r>
    </w:p>
    <w:p>
      <w:pPr>
        <w:keepNext w:val="0"/>
        <w:keepLines w:val="0"/>
        <w:spacing w:before="0" w:after="160" w:line="320" w:lineRule="auto"/>
        <w:jc w:val="both"/>
      </w:pPr>
      <w:r>
        <w:rPr>
          <w:rFonts w:ascii="Calibri" w:hAnsi="Calibri"/>
          <w:i w:val="0"/>
          <w:color w:val="17131D"/>
          <w:sz w:val="22"/>
        </w:rPr>
        <w:t>When you select a Purple candidate, you should be choosing an operating standard that is bound to build people rather than merely process them. You should be choosing a presidency that states its limits, publishes its evidence, submits its contracts to scrutiny, protects people before demanding transition, and measures prosperity by the knowledge, health, skill, ownership, purchasing power, resilience, and freedom that citizens carry into the future.</w:t>
      </w:r>
    </w:p>
    <w:p>
      <w:pPr>
        <w:keepNext w:val="0"/>
        <w:keepLines w:val="0"/>
        <w:spacing w:before="0" w:after="160" w:line="320" w:lineRule="auto"/>
        <w:jc w:val="both"/>
      </w:pPr>
      <w:r>
        <w:rPr>
          <w:rFonts w:ascii="Calibri" w:hAnsi="Calibri"/>
          <w:i w:val="0"/>
          <w:color w:val="17131D"/>
          <w:sz w:val="22"/>
        </w:rPr>
        <w:t>That choice does not guarantee success. No color, candidate, metric, contract, or economic theory deserves blind trust. The Purple Way deserves consideration only to the extent that it remains constitutional, humane, competitive, transparent, financially stable, measurable, and willing to correct itself.</w:t>
      </w:r>
    </w:p>
    <w:p>
      <w:pPr>
        <w:keepNext w:val="0"/>
        <w:keepLines w:val="0"/>
        <w:spacing w:before="0" w:after="160" w:line="320" w:lineRule="auto"/>
        <w:jc w:val="both"/>
      </w:pPr>
      <w:r>
        <w:rPr>
          <w:rFonts w:ascii="Calibri" w:hAnsi="Calibri"/>
          <w:i w:val="0"/>
          <w:color w:val="17131D"/>
          <w:sz w:val="22"/>
        </w:rPr>
        <w:t>The current establishment is nothing without the people who work their wisdom. The sovereign citizen's task is therefore not to hand power to a new establishment. It is to require every institution - including a Purple one - to return more power to the person.</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shd w:fill="FBF5E5"/>
            <w:tcBorders>
              <w:top w:val="nil"/>
              <w:start w:val="single" w:sz="18" w:space="0" w:color="D8AE55"/>
              <w:bottom w:val="nil"/>
              <w:end w:val="nil"/>
            </w:tcBorders>
            <w:vAlign w:val="center"/>
          </w:tcPr>
          <w:p>
            <w:pPr>
              <w:keepNext/>
              <w:keepLines w:val="0"/>
              <w:spacing w:before="0" w:after="60" w:line="240" w:lineRule="auto"/>
            </w:pPr>
            <w:r>
              <w:rPr>
                <w:rFonts w:ascii="Calibri" w:hAnsi="Calibri"/>
                <w:b/>
                <w:caps/>
                <w:color w:val="D8AE55"/>
                <w:sz w:val="17"/>
              </w:rPr>
              <w:t>THE PURPLE CHOICE</w:t>
            </w:r>
          </w:p>
          <w:p>
            <w:pPr>
              <w:keepNext w:val="0"/>
              <w:keepLines w:val="0"/>
              <w:spacing w:before="0" w:after="0" w:line="288" w:lineRule="auto"/>
            </w:pPr>
            <w:r>
              <w:rPr>
                <w:rFonts w:ascii="Calibri" w:hAnsi="Calibri"/>
                <w:b/>
                <w:color w:val="17131D"/>
                <w:sz w:val="23"/>
              </w:rPr>
              <w:t>Do not ask only which side will govern you. Ask which system will leave you more capable of governing your own life.</w:t>
            </w:r>
          </w:p>
        </w:tc>
      </w:tr>
    </w:tbl>
    <w:p>
      <w:pPr>
        <w:keepNext w:val="0"/>
        <w:keepLines w:val="0"/>
        <w:spacing w:before="0" w:after="60" w:line="240" w:lineRule="auto"/>
      </w:pPr>
    </w:p>
    <w:p>
      <w:r>
        <w:br w:type="page"/>
      </w:r>
    </w:p>
    <w:p>
      <w:pPr>
        <w:keepNext/>
        <w:keepLines w:val="0"/>
        <w:spacing w:before="0" w:after="160" w:line="240" w:lineRule="auto"/>
      </w:pPr>
      <w:r>
        <w:rPr>
          <w:rFonts w:ascii="Calibri" w:hAnsi="Calibri"/>
          <w:b/>
          <w:caps/>
          <w:color w:val="D8AE55"/>
          <w:sz w:val="18"/>
        </w:rPr>
        <w:t>APPENDIX A</w:t>
      </w:r>
    </w:p>
    <w:p>
      <w:pPr>
        <w:keepNext/>
        <w:keepLines w:val="0"/>
        <w:spacing w:before="0" w:after="320" w:line="240" w:lineRule="auto"/>
      </w:pPr>
      <w:r>
        <w:rPr>
          <w:rFonts w:ascii="Georgia" w:hAnsi="Georgia"/>
          <w:color w:val="210D31"/>
          <w:sz w:val="48"/>
        </w:rPr>
        <w:t>Metric definitions and safeguards</w:t>
      </w:r>
    </w:p>
    <w:tbl>
      <w:tblPr>
        <w:tblW w:type="dxa" w:w="9360"/>
        <w:tblLayout w:type="fixed"/>
        <w:tblLook w:firstColumn="1" w:firstRow="1" w:lastColumn="0" w:lastRow="0" w:noHBand="0" w:noVBand="1" w:val="04A0"/>
        <w:jc w:val="left"/>
        <w:tblInd w:w="120" w:type="dxa"/>
      </w:tblPr>
      <w:tblGrid>
        <w:gridCol w:w="2400"/>
        <w:gridCol w:w="3000"/>
        <w:gridCol w:w="3960"/>
      </w:tblGrid>
      <w:tr>
        <w:trPr>
          <w:tblHeader w:val="true"/>
        </w:trPr>
        <w:tc>
          <w:tcPr>
            <w:tcW w:type="dxa" w:w="2400"/>
            <w:tcMar>
              <w:top w:w="100" w:type="dxa"/>
              <w:start w:w="140" w:type="dxa"/>
              <w:bottom w:w="100" w:type="dxa"/>
              <w:end w:w="140" w:type="dxa"/>
            </w:tcMar>
            <w:shd w:fill="210D31"/>
          </w:tcPr>
          <w:p>
            <w:pPr>
              <w:keepNext w:val="0"/>
              <w:keepLines w:val="0"/>
              <w:spacing w:before="0" w:after="0" w:line="240" w:lineRule="auto"/>
              <w:jc w:val="center"/>
            </w:pPr>
            <w:r>
              <w:rPr>
                <w:rFonts w:ascii="Calibri" w:hAnsi="Calibri"/>
                <w:b/>
                <w:color w:val="FFFDF8"/>
                <w:sz w:val="18"/>
              </w:rPr>
              <w:t>Metric</w:t>
            </w:r>
          </w:p>
        </w:tc>
        <w:tc>
          <w:tcPr>
            <w:tcW w:type="dxa" w:w="3000"/>
            <w:tcMar>
              <w:top w:w="100" w:type="dxa"/>
              <w:start w:w="140" w:type="dxa"/>
              <w:bottom w:w="100" w:type="dxa"/>
              <w:end w:w="140" w:type="dxa"/>
            </w:tcMar>
            <w:shd w:fill="210D31"/>
          </w:tcPr>
          <w:p>
            <w:pPr>
              <w:keepNext w:val="0"/>
              <w:keepLines w:val="0"/>
              <w:spacing w:before="0" w:after="0" w:line="240" w:lineRule="auto"/>
              <w:jc w:val="center"/>
            </w:pPr>
            <w:r>
              <w:rPr>
                <w:rFonts w:ascii="Calibri" w:hAnsi="Calibri"/>
                <w:b/>
                <w:color w:val="FFFDF8"/>
                <w:sz w:val="18"/>
              </w:rPr>
              <w:t>What it measures</w:t>
            </w:r>
          </w:p>
        </w:tc>
        <w:tc>
          <w:tcPr>
            <w:tcW w:type="dxa" w:w="3960"/>
            <w:tcMar>
              <w:top w:w="100" w:type="dxa"/>
              <w:start w:w="140" w:type="dxa"/>
              <w:bottom w:w="100" w:type="dxa"/>
              <w:end w:w="140" w:type="dxa"/>
            </w:tcMar>
            <w:shd w:fill="210D31"/>
          </w:tcPr>
          <w:p>
            <w:pPr>
              <w:keepNext w:val="0"/>
              <w:keepLines w:val="0"/>
              <w:spacing w:before="0" w:after="0" w:line="240" w:lineRule="auto"/>
              <w:jc w:val="center"/>
            </w:pPr>
            <w:r>
              <w:rPr>
                <w:rFonts w:ascii="Calibri" w:hAnsi="Calibri"/>
                <w:b/>
                <w:color w:val="FFFDF8"/>
                <w:sz w:val="18"/>
              </w:rPr>
              <w:t>Minimum safeguard</w:t>
            </w:r>
          </w:p>
        </w:tc>
      </w:tr>
      <w:tr>
        <w:tc>
          <w:tcPr>
            <w:tcW w:type="dxa" w:w="2400"/>
            <w:vAlign w:val="center"/>
            <w:shd w:fill="F1EAF5"/>
            <w:tcMar>
              <w:top w:w="100" w:type="dxa"/>
              <w:start w:w="140" w:type="dxa"/>
              <w:bottom w:w="100" w:type="dxa"/>
              <w:end w:w="140" w:type="dxa"/>
            </w:tcMar>
          </w:tcPr>
          <w:p>
            <w:pPr>
              <w:keepNext w:val="0"/>
              <w:keepLines w:val="0"/>
              <w:spacing w:before="0" w:after="0" w:line="269" w:lineRule="auto"/>
            </w:pPr>
            <w:r>
              <w:rPr>
                <w:rFonts w:ascii="Calibri" w:hAnsi="Calibri"/>
                <w:b/>
                <w:color w:val="210D31"/>
                <w:sz w:val="17"/>
              </w:rPr>
              <w:t>Purchasing Power Multiplier</w:t>
            </w:r>
          </w:p>
        </w:tc>
        <w:tc>
          <w:tcPr>
            <w:tcW w:type="dxa" w:w="3000"/>
            <w:vAlign w:val="center"/>
            <w:tcMar>
              <w:top w:w="100" w:type="dxa"/>
              <w:start w:w="140" w:type="dxa"/>
              <w:bottom w:w="100" w:type="dxa"/>
              <w:end w:w="140" w:type="dxa"/>
            </w:tcMar>
          </w:tcPr>
          <w:p>
            <w:pPr>
              <w:keepNext w:val="0"/>
              <w:keepLines w:val="0"/>
              <w:spacing w:before="0" w:after="0" w:line="269" w:lineRule="auto"/>
            </w:pPr>
            <w:r>
              <w:rPr>
                <w:rFonts w:ascii="Calibri" w:hAnsi="Calibri"/>
                <w:b w:val="0"/>
                <w:color w:val="17131D"/>
                <w:sz w:val="17"/>
              </w:rPr>
              <w:t>Essential units affordable from a defined unit of household income or work time.</w:t>
            </w:r>
          </w:p>
        </w:tc>
        <w:tc>
          <w:tcPr>
            <w:tcW w:type="dxa" w:w="3960"/>
            <w:vAlign w:val="center"/>
            <w:tcMar>
              <w:top w:w="100" w:type="dxa"/>
              <w:start w:w="140" w:type="dxa"/>
              <w:bottom w:w="100" w:type="dxa"/>
              <w:end w:w="140" w:type="dxa"/>
            </w:tcMar>
          </w:tcPr>
          <w:p>
            <w:pPr>
              <w:keepNext w:val="0"/>
              <w:keepLines w:val="0"/>
              <w:spacing w:before="0" w:after="0" w:line="269" w:lineRule="auto"/>
            </w:pPr>
            <w:r>
              <w:rPr>
                <w:rFonts w:ascii="Calibri" w:hAnsi="Calibri"/>
                <w:b w:val="0"/>
                <w:color w:val="17131D"/>
                <w:sz w:val="17"/>
              </w:rPr>
              <w:t>Publish the basket, quality standards, geography, taxes, fees, financing costs, median and distributional results.</w:t>
            </w:r>
          </w:p>
        </w:tc>
      </w:tr>
      <w:tr>
        <w:tc>
          <w:tcPr>
            <w:tcW w:type="dxa" w:w="2400"/>
            <w:vAlign w:val="center"/>
            <w:shd w:fill="F1EAF5"/>
            <w:tcMar>
              <w:top w:w="100" w:type="dxa"/>
              <w:start w:w="140" w:type="dxa"/>
              <w:bottom w:w="100" w:type="dxa"/>
              <w:end w:w="140" w:type="dxa"/>
            </w:tcMar>
          </w:tcPr>
          <w:p>
            <w:pPr>
              <w:keepNext w:val="0"/>
              <w:keepLines w:val="0"/>
              <w:spacing w:before="0" w:after="0" w:line="269" w:lineRule="auto"/>
            </w:pPr>
            <w:r>
              <w:rPr>
                <w:rFonts w:ascii="Calibri" w:hAnsi="Calibri"/>
                <w:b/>
                <w:color w:val="210D31"/>
                <w:sz w:val="17"/>
              </w:rPr>
              <w:t>Household Surplus Ratio</w:t>
            </w:r>
          </w:p>
        </w:tc>
        <w:tc>
          <w:tcPr>
            <w:tcW w:type="dxa" w:w="3000"/>
            <w:vAlign w:val="center"/>
            <w:tcMar>
              <w:top w:w="100" w:type="dxa"/>
              <w:start w:w="140" w:type="dxa"/>
              <w:bottom w:w="100" w:type="dxa"/>
              <w:end w:w="140" w:type="dxa"/>
            </w:tcMar>
          </w:tcPr>
          <w:p>
            <w:pPr>
              <w:keepNext w:val="0"/>
              <w:keepLines w:val="0"/>
              <w:spacing w:before="0" w:after="0" w:line="269" w:lineRule="auto"/>
            </w:pPr>
            <w:r>
              <w:rPr>
                <w:rFonts w:ascii="Calibri" w:hAnsi="Calibri"/>
                <w:b w:val="0"/>
                <w:color w:val="17131D"/>
                <w:sz w:val="17"/>
              </w:rPr>
              <w:t>After-tax household income remaining after a transparent essential-cost basket and minimum required debt service.</w:t>
            </w:r>
          </w:p>
        </w:tc>
        <w:tc>
          <w:tcPr>
            <w:tcW w:type="dxa" w:w="3960"/>
            <w:vAlign w:val="center"/>
            <w:tcMar>
              <w:top w:w="100" w:type="dxa"/>
              <w:start w:w="140" w:type="dxa"/>
              <w:bottom w:w="100" w:type="dxa"/>
              <w:end w:w="140" w:type="dxa"/>
            </w:tcMar>
          </w:tcPr>
          <w:p>
            <w:pPr>
              <w:keepNext w:val="0"/>
              <w:keepLines w:val="0"/>
              <w:spacing w:before="0" w:after="0" w:line="269" w:lineRule="auto"/>
            </w:pPr>
            <w:r>
              <w:rPr>
                <w:rFonts w:ascii="Calibri" w:hAnsi="Calibri"/>
                <w:b w:val="0"/>
                <w:color w:val="17131D"/>
                <w:sz w:val="17"/>
              </w:rPr>
              <w:t>Do not count reduced access, skipped care, unsafe housing, or unpaid obligations as surplus.</w:t>
            </w:r>
          </w:p>
        </w:tc>
      </w:tr>
      <w:tr>
        <w:tc>
          <w:tcPr>
            <w:tcW w:type="dxa" w:w="2400"/>
            <w:vAlign w:val="center"/>
            <w:shd w:fill="F1EAF5"/>
            <w:tcMar>
              <w:top w:w="100" w:type="dxa"/>
              <w:start w:w="140" w:type="dxa"/>
              <w:bottom w:w="100" w:type="dxa"/>
              <w:end w:w="140" w:type="dxa"/>
            </w:tcMar>
          </w:tcPr>
          <w:p>
            <w:pPr>
              <w:keepNext w:val="0"/>
              <w:keepLines w:val="0"/>
              <w:spacing w:before="0" w:after="0" w:line="269" w:lineRule="auto"/>
            </w:pPr>
            <w:r>
              <w:rPr>
                <w:rFonts w:ascii="Calibri" w:hAnsi="Calibri"/>
                <w:b/>
                <w:color w:val="210D31"/>
                <w:sz w:val="17"/>
              </w:rPr>
              <w:t>Infrastructure Efficiency Output</w:t>
            </w:r>
          </w:p>
        </w:tc>
        <w:tc>
          <w:tcPr>
            <w:tcW w:type="dxa" w:w="3000"/>
            <w:vAlign w:val="center"/>
            <w:tcMar>
              <w:top w:w="100" w:type="dxa"/>
              <w:start w:w="140" w:type="dxa"/>
              <w:bottom w:w="100" w:type="dxa"/>
              <w:end w:w="140" w:type="dxa"/>
            </w:tcMar>
          </w:tcPr>
          <w:p>
            <w:pPr>
              <w:keepNext w:val="0"/>
              <w:keepLines w:val="0"/>
              <w:spacing w:before="0" w:after="0" w:line="269" w:lineRule="auto"/>
            </w:pPr>
            <w:r>
              <w:rPr>
                <w:rFonts w:ascii="Calibri" w:hAnsi="Calibri"/>
                <w:b w:val="0"/>
                <w:color w:val="17131D"/>
                <w:sz w:val="17"/>
              </w:rPr>
              <w:t>Useful, reliable service produced per unit of energy, water, time, material, maintenance, and public cost.</w:t>
            </w:r>
          </w:p>
        </w:tc>
        <w:tc>
          <w:tcPr>
            <w:tcW w:type="dxa" w:w="3960"/>
            <w:vAlign w:val="center"/>
            <w:tcMar>
              <w:top w:w="100" w:type="dxa"/>
              <w:start w:w="140" w:type="dxa"/>
              <w:bottom w:w="100" w:type="dxa"/>
              <w:end w:w="140" w:type="dxa"/>
            </w:tcMar>
          </w:tcPr>
          <w:p>
            <w:pPr>
              <w:keepNext w:val="0"/>
              <w:keepLines w:val="0"/>
              <w:spacing w:before="0" w:after="0" w:line="269" w:lineRule="auto"/>
            </w:pPr>
            <w:r>
              <w:rPr>
                <w:rFonts w:ascii="Calibri" w:hAnsi="Calibri"/>
                <w:b w:val="0"/>
                <w:color w:val="17131D"/>
                <w:sz w:val="17"/>
              </w:rPr>
              <w:t>Protect resilience, safety, cybersecurity, labor standards, service quality, and lifecycle costs.</w:t>
            </w:r>
          </w:p>
        </w:tc>
      </w:tr>
      <w:tr>
        <w:tc>
          <w:tcPr>
            <w:tcW w:type="dxa" w:w="2400"/>
            <w:vAlign w:val="center"/>
            <w:shd w:fill="F1EAF5"/>
            <w:tcMar>
              <w:top w:w="100" w:type="dxa"/>
              <w:start w:w="140" w:type="dxa"/>
              <w:bottom w:w="100" w:type="dxa"/>
              <w:end w:w="140" w:type="dxa"/>
            </w:tcMar>
          </w:tcPr>
          <w:p>
            <w:pPr>
              <w:keepNext w:val="0"/>
              <w:keepLines w:val="0"/>
              <w:spacing w:before="0" w:after="0" w:line="269" w:lineRule="auto"/>
            </w:pPr>
            <w:r>
              <w:rPr>
                <w:rFonts w:ascii="Calibri" w:hAnsi="Calibri"/>
                <w:b/>
                <w:color w:val="210D31"/>
                <w:sz w:val="17"/>
              </w:rPr>
              <w:t>Dependency Contraction Index</w:t>
            </w:r>
          </w:p>
        </w:tc>
        <w:tc>
          <w:tcPr>
            <w:tcW w:type="dxa" w:w="3000"/>
            <w:vAlign w:val="center"/>
            <w:tcMar>
              <w:top w:w="100" w:type="dxa"/>
              <w:start w:w="140" w:type="dxa"/>
              <w:bottom w:w="100" w:type="dxa"/>
              <w:end w:w="140" w:type="dxa"/>
            </w:tcMar>
          </w:tcPr>
          <w:p>
            <w:pPr>
              <w:keepNext w:val="0"/>
              <w:keepLines w:val="0"/>
              <w:spacing w:before="0" w:after="0" w:line="269" w:lineRule="auto"/>
            </w:pPr>
            <w:r>
              <w:rPr>
                <w:rFonts w:ascii="Calibri" w:hAnsi="Calibri"/>
                <w:b w:val="0"/>
                <w:color w:val="17131D"/>
                <w:sz w:val="17"/>
              </w:rPr>
              <w:t>Verified movement from recurring emergency reliance or harmful debt into stable capability, income, savings, assets, and choice.</w:t>
            </w:r>
          </w:p>
        </w:tc>
        <w:tc>
          <w:tcPr>
            <w:tcW w:type="dxa" w:w="3960"/>
            <w:vAlign w:val="center"/>
            <w:tcMar>
              <w:top w:w="100" w:type="dxa"/>
              <w:start w:w="140" w:type="dxa"/>
              <w:bottom w:w="100" w:type="dxa"/>
              <w:end w:w="140" w:type="dxa"/>
            </w:tcMar>
          </w:tcPr>
          <w:p>
            <w:pPr>
              <w:keepNext w:val="0"/>
              <w:keepLines w:val="0"/>
              <w:spacing w:before="0" w:after="0" w:line="269" w:lineRule="auto"/>
            </w:pPr>
            <w:r>
              <w:rPr>
                <w:rFonts w:ascii="Calibri" w:hAnsi="Calibri"/>
                <w:b w:val="0"/>
                <w:color w:val="17131D"/>
                <w:sz w:val="17"/>
              </w:rPr>
              <w:t>Never count benefit termination alone; require stable outcomes, voluntary participation where appropriate, and protection for vulnerable people.</w:t>
            </w:r>
          </w:p>
        </w:tc>
      </w:tr>
    </w:tbl>
    <w:p>
      <w:r>
        <w:br w:type="page"/>
      </w:r>
    </w:p>
    <w:p>
      <w:pPr>
        <w:keepNext/>
        <w:keepLines w:val="0"/>
        <w:spacing w:before="0" w:after="160" w:line="240" w:lineRule="auto"/>
      </w:pPr>
      <w:r>
        <w:rPr>
          <w:rFonts w:ascii="Calibri" w:hAnsi="Calibri"/>
          <w:b/>
          <w:caps/>
          <w:color w:val="D8AE55"/>
          <w:sz w:val="18"/>
        </w:rPr>
        <w:t>APPENDIX B</w:t>
      </w:r>
    </w:p>
    <w:p>
      <w:pPr>
        <w:keepNext/>
        <w:keepLines w:val="0"/>
        <w:spacing w:before="0" w:after="320" w:line="240" w:lineRule="auto"/>
      </w:pPr>
      <w:r>
        <w:rPr>
          <w:rFonts w:ascii="Georgia" w:hAnsi="Georgia"/>
          <w:color w:val="210D31"/>
          <w:sz w:val="48"/>
        </w:rPr>
        <w:t>Model Statesman Covenant principles</w:t>
      </w:r>
    </w:p>
    <w:p>
      <w:pPr>
        <w:keepNext w:val="0"/>
        <w:keepLines w:val="0"/>
        <w:numPr>
          <w:ilvl w:val="0"/>
          <w:numId w:val="90"/>
        </w:numPr>
        <w:spacing w:before="0" w:after="80" w:line="290" w:lineRule="auto"/>
        <w:ind w:left="540" w:hanging="279"/>
      </w:pPr>
      <w:r>
        <w:rPr>
          <w:rFonts w:ascii="Calibri" w:hAnsi="Calibri"/>
          <w:b/>
          <w:color w:val="17131D"/>
          <w:sz w:val="22"/>
        </w:rPr>
        <w:t>Constitution first.</w:t>
      </w:r>
      <w:r>
        <w:rPr>
          <w:rFonts w:ascii="Calibri" w:hAnsi="Calibri"/>
          <w:color w:val="17131D"/>
          <w:sz w:val="22"/>
        </w:rPr>
        <w:t xml:space="preserve"> Nothing in this covenant authorizes action beyond constitutional and statutory power.</w:t>
      </w:r>
    </w:p>
    <w:p>
      <w:pPr>
        <w:keepNext w:val="0"/>
        <w:keepLines w:val="0"/>
        <w:numPr>
          <w:ilvl w:val="0"/>
          <w:numId w:val="90"/>
        </w:numPr>
        <w:spacing w:before="0" w:after="80" w:line="290" w:lineRule="auto"/>
        <w:ind w:left="540" w:hanging="279"/>
      </w:pPr>
      <w:r>
        <w:rPr>
          <w:rFonts w:ascii="Calibri" w:hAnsi="Calibri"/>
          <w:b/>
          <w:color w:val="17131D"/>
          <w:sz w:val="22"/>
        </w:rPr>
        <w:t>No secret scorecard.</w:t>
      </w:r>
      <w:r>
        <w:rPr>
          <w:rFonts w:ascii="Calibri" w:hAnsi="Calibri"/>
          <w:color w:val="17131D"/>
          <w:sz w:val="22"/>
        </w:rPr>
        <w:t xml:space="preserve"> Every controlling metric, weight, baseline, exception, and revision is public.</w:t>
      </w:r>
    </w:p>
    <w:p>
      <w:pPr>
        <w:keepNext w:val="0"/>
        <w:keepLines w:val="0"/>
        <w:numPr>
          <w:ilvl w:val="0"/>
          <w:numId w:val="90"/>
        </w:numPr>
        <w:spacing w:before="0" w:after="80" w:line="290" w:lineRule="auto"/>
        <w:ind w:left="540" w:hanging="279"/>
      </w:pPr>
      <w:r>
        <w:rPr>
          <w:rFonts w:ascii="Calibri" w:hAnsi="Calibri"/>
          <w:b/>
          <w:color w:val="17131D"/>
          <w:sz w:val="22"/>
        </w:rPr>
        <w:t>No private favoritism.</w:t>
      </w:r>
      <w:r>
        <w:rPr>
          <w:rFonts w:ascii="Calibri" w:hAnsi="Calibri"/>
          <w:color w:val="17131D"/>
          <w:sz w:val="22"/>
        </w:rPr>
        <w:t xml:space="preserve"> Material public opportunities use open eligibility, competitive selection, conflict disclosure, and independent review.</w:t>
      </w:r>
    </w:p>
    <w:p>
      <w:pPr>
        <w:keepNext w:val="0"/>
        <w:keepLines w:val="0"/>
        <w:numPr>
          <w:ilvl w:val="0"/>
          <w:numId w:val="90"/>
        </w:numPr>
        <w:spacing w:before="0" w:after="80" w:line="290" w:lineRule="auto"/>
        <w:ind w:left="540" w:hanging="279"/>
      </w:pPr>
      <w:r>
        <w:rPr>
          <w:rFonts w:ascii="Calibri" w:hAnsi="Calibri"/>
          <w:b/>
          <w:color w:val="17131D"/>
          <w:sz w:val="22"/>
        </w:rPr>
        <w:t>No benefits counted early.</w:t>
      </w:r>
      <w:r>
        <w:rPr>
          <w:rFonts w:ascii="Calibri" w:hAnsi="Calibri"/>
          <w:color w:val="17131D"/>
          <w:sz w:val="22"/>
        </w:rPr>
        <w:t xml:space="preserve"> Projected gains remain projections until verified in completed measurement periods.</w:t>
      </w:r>
    </w:p>
    <w:p>
      <w:pPr>
        <w:keepNext w:val="0"/>
        <w:keepLines w:val="0"/>
        <w:numPr>
          <w:ilvl w:val="0"/>
          <w:numId w:val="90"/>
        </w:numPr>
        <w:spacing w:before="0" w:after="80" w:line="290" w:lineRule="auto"/>
        <w:ind w:left="540" w:hanging="279"/>
      </w:pPr>
      <w:r>
        <w:rPr>
          <w:rFonts w:ascii="Calibri" w:hAnsi="Calibri"/>
          <w:b/>
          <w:color w:val="17131D"/>
          <w:sz w:val="22"/>
        </w:rPr>
        <w:t>No abandonment.</w:t>
      </w:r>
      <w:r>
        <w:rPr>
          <w:rFonts w:ascii="Calibri" w:hAnsi="Calibri"/>
          <w:color w:val="17131D"/>
          <w:sz w:val="22"/>
        </w:rPr>
        <w:t xml:space="preserve"> Protection remains until safe and durable capability is demonstrated; vulnerable people retain dependable care.</w:t>
      </w:r>
    </w:p>
    <w:p>
      <w:pPr>
        <w:keepNext w:val="0"/>
        <w:keepLines w:val="0"/>
        <w:numPr>
          <w:ilvl w:val="0"/>
          <w:numId w:val="90"/>
        </w:numPr>
        <w:spacing w:before="0" w:after="80" w:line="290" w:lineRule="auto"/>
        <w:ind w:left="540" w:hanging="279"/>
      </w:pPr>
      <w:r>
        <w:rPr>
          <w:rFonts w:ascii="Calibri" w:hAnsi="Calibri"/>
          <w:b/>
          <w:color w:val="17131D"/>
          <w:sz w:val="22"/>
        </w:rPr>
        <w:t>No unreviewable automation.</w:t>
      </w:r>
      <w:r>
        <w:rPr>
          <w:rFonts w:ascii="Calibri" w:hAnsi="Calibri"/>
          <w:color w:val="17131D"/>
          <w:sz w:val="22"/>
        </w:rPr>
        <w:t xml:space="preserve"> High-impact decisions receive explanation, appeal, human review, and due process.</w:t>
      </w:r>
    </w:p>
    <w:p>
      <w:pPr>
        <w:keepNext w:val="0"/>
        <w:keepLines w:val="0"/>
        <w:numPr>
          <w:ilvl w:val="0"/>
          <w:numId w:val="90"/>
        </w:numPr>
        <w:spacing w:before="0" w:after="80" w:line="290" w:lineRule="auto"/>
        <w:ind w:left="540" w:hanging="279"/>
      </w:pPr>
      <w:r>
        <w:rPr>
          <w:rFonts w:ascii="Calibri" w:hAnsi="Calibri"/>
          <w:b/>
          <w:color w:val="17131D"/>
          <w:sz w:val="22"/>
        </w:rPr>
        <w:t>No success through hidden harm.</w:t>
      </w:r>
      <w:r>
        <w:rPr>
          <w:rFonts w:ascii="Calibri" w:hAnsi="Calibri"/>
          <w:color w:val="17131D"/>
          <w:sz w:val="22"/>
        </w:rPr>
        <w:t xml:space="preserve"> Cost reductions must include quality, access, wages, safety, competition, resilience, and financial stability.</w:t>
      </w:r>
    </w:p>
    <w:p>
      <w:pPr>
        <w:keepNext w:val="0"/>
        <w:keepLines w:val="0"/>
        <w:numPr>
          <w:ilvl w:val="0"/>
          <w:numId w:val="90"/>
        </w:numPr>
        <w:spacing w:before="0" w:after="80" w:line="290" w:lineRule="auto"/>
        <w:ind w:left="540" w:hanging="279"/>
      </w:pPr>
      <w:r>
        <w:rPr>
          <w:rFonts w:ascii="Calibri" w:hAnsi="Calibri"/>
          <w:b/>
          <w:color w:val="17131D"/>
          <w:sz w:val="22"/>
        </w:rPr>
        <w:t>No permanent pilot.</w:t>
      </w:r>
      <w:r>
        <w:rPr>
          <w:rFonts w:ascii="Calibri" w:hAnsi="Calibri"/>
          <w:color w:val="17131D"/>
          <w:sz w:val="22"/>
        </w:rPr>
        <w:t xml:space="preserve"> Every pilot has a defined term, renewal test, correction process, and termination mechanism.</w:t>
      </w:r>
    </w:p>
    <w:p>
      <w:pPr>
        <w:keepNext w:val="0"/>
        <w:keepLines w:val="0"/>
        <w:numPr>
          <w:ilvl w:val="0"/>
          <w:numId w:val="90"/>
        </w:numPr>
        <w:spacing w:before="0" w:after="80" w:line="290" w:lineRule="auto"/>
        <w:ind w:left="540" w:hanging="279"/>
      </w:pPr>
      <w:r>
        <w:rPr>
          <w:rFonts w:ascii="Calibri" w:hAnsi="Calibri"/>
          <w:b/>
          <w:color w:val="17131D"/>
          <w:sz w:val="22"/>
        </w:rPr>
        <w:t>No immunity from evidence.</w:t>
      </w:r>
      <w:r>
        <w:rPr>
          <w:rFonts w:ascii="Calibri" w:hAnsi="Calibri"/>
          <w:color w:val="17131D"/>
          <w:sz w:val="22"/>
        </w:rPr>
        <w:t xml:space="preserve"> The administration publishes failures and changes course when evidence defeats the original claim.</w:t>
      </w:r>
    </w:p>
    <w:p>
      <w:r>
        <w:br w:type="page"/>
      </w:r>
    </w:p>
    <w:p>
      <w:pPr>
        <w:keepNext/>
        <w:keepLines w:val="0"/>
        <w:spacing w:before="0" w:after="160" w:line="240" w:lineRule="auto"/>
      </w:pPr>
      <w:r>
        <w:rPr>
          <w:rFonts w:ascii="Calibri" w:hAnsi="Calibri"/>
          <w:b/>
          <w:caps/>
          <w:color w:val="D8AE55"/>
          <w:sz w:val="18"/>
        </w:rPr>
        <w:t>SOURCES AND NOTES</w:t>
      </w:r>
    </w:p>
    <w:p>
      <w:pPr>
        <w:keepNext/>
        <w:keepLines w:val="0"/>
        <w:spacing w:before="0" w:after="240" w:line="240" w:lineRule="auto"/>
      </w:pPr>
      <w:r>
        <w:rPr>
          <w:rFonts w:ascii="Georgia" w:hAnsi="Georgia"/>
          <w:color w:val="210D31"/>
          <w:sz w:val="48"/>
        </w:rPr>
        <w:t>Grounding the proposal</w:t>
      </w:r>
    </w:p>
    <w:p>
      <w:pPr>
        <w:keepNext w:val="0"/>
        <w:keepLines w:val="0"/>
        <w:spacing w:before="0" w:after="160" w:line="320" w:lineRule="auto"/>
        <w:jc w:val="both"/>
      </w:pPr>
      <w:r>
        <w:rPr>
          <w:rFonts w:ascii="Calibri" w:hAnsi="Calibri"/>
          <w:i w:val="0"/>
          <w:color w:val="17131D"/>
          <w:sz w:val="22"/>
        </w:rPr>
        <w:t>The political and economic proposals in this book are Rustin Penland's Purple Way framework. The sources below ground several factual guardrails used in this edition. They do not endorse the Purple Way or verify its untested policy claims.</w:t>
      </w:r>
    </w:p>
    <w:p>
      <w:pPr>
        <w:keepNext/>
        <w:keepLines w:val="0"/>
        <w:spacing w:before="0" w:after="40" w:line="276" w:lineRule="auto"/>
      </w:pPr>
      <w:r>
        <w:rPr>
          <w:rFonts w:ascii="Calibri" w:hAnsi="Calibri"/>
          <w:b/>
          <w:color w:val="17131D"/>
          <w:sz w:val="20"/>
        </w:rPr>
        <w:t>United States Constitution, Article II, Section 4</w:t>
      </w:r>
    </w:p>
    <w:p>
      <w:pPr>
        <w:keepNext w:val="0"/>
        <w:keepLines w:val="0"/>
        <w:spacing w:before="0" w:after="160" w:line="276" w:lineRule="auto"/>
      </w:pPr>
      <w:hyperlink r:id="rId11">
        <w:r>
          <w:rPr>
            <w:rFonts w:ascii="Calibri" w:hAnsi="Calibri"/>
            <w:color w:val="6C2D8D"/>
            <w:u w:val="single"/>
          </w:rPr>
          <w:t>https://constitution.congress.gov/browse/article-2/section-4/</w:t>
        </w:r>
      </w:hyperlink>
      <w:r>
        <w:rPr>
          <w:rFonts w:ascii="Calibri" w:hAnsi="Calibri"/>
          <w:color w:val="6F6878"/>
          <w:sz w:val="18"/>
        </w:rPr>
        <w:t xml:space="preserve"> — Constitutional text and annotations concerning impeachment and removal.</w:t>
      </w:r>
    </w:p>
    <w:p>
      <w:pPr>
        <w:keepNext/>
        <w:keepLines w:val="0"/>
        <w:spacing w:before="0" w:after="40" w:line="276" w:lineRule="auto"/>
      </w:pPr>
      <w:r>
        <w:rPr>
          <w:rFonts w:ascii="Calibri" w:hAnsi="Calibri"/>
          <w:b/>
          <w:color w:val="17131D"/>
          <w:sz w:val="20"/>
        </w:rPr>
        <w:t>United States Constitution, Twenty-Fifth Amendment</w:t>
      </w:r>
    </w:p>
    <w:p>
      <w:pPr>
        <w:keepNext w:val="0"/>
        <w:keepLines w:val="0"/>
        <w:spacing w:before="0" w:after="160" w:line="276" w:lineRule="auto"/>
      </w:pPr>
      <w:hyperlink r:id="rId12">
        <w:r>
          <w:rPr>
            <w:rFonts w:ascii="Calibri" w:hAnsi="Calibri"/>
            <w:color w:val="6C2D8D"/>
            <w:u w:val="single"/>
          </w:rPr>
          <w:t>https://constitution.congress.gov/constitution/amendment-25/</w:t>
        </w:r>
      </w:hyperlink>
      <w:r>
        <w:rPr>
          <w:rFonts w:ascii="Calibri" w:hAnsi="Calibri"/>
          <w:color w:val="6F6878"/>
          <w:sz w:val="18"/>
        </w:rPr>
        <w:t xml:space="preserve"> — Constitutional procedures concerning presidential vacancy and inability.</w:t>
      </w:r>
    </w:p>
    <w:p>
      <w:pPr>
        <w:keepNext/>
        <w:keepLines w:val="0"/>
        <w:spacing w:before="0" w:after="40" w:line="276" w:lineRule="auto"/>
      </w:pPr>
      <w:r>
        <w:rPr>
          <w:rFonts w:ascii="Calibri" w:hAnsi="Calibri"/>
          <w:b/>
          <w:color w:val="17131D"/>
          <w:sz w:val="20"/>
        </w:rPr>
        <w:t>U.S. Bureau of Economic Analysis: Gross Domestic Product</w:t>
      </w:r>
    </w:p>
    <w:p>
      <w:pPr>
        <w:keepNext w:val="0"/>
        <w:keepLines w:val="0"/>
        <w:spacing w:before="0" w:after="160" w:line="276" w:lineRule="auto"/>
      </w:pPr>
      <w:hyperlink r:id="rId13">
        <w:r>
          <w:rPr>
            <w:rFonts w:ascii="Calibri" w:hAnsi="Calibri"/>
            <w:color w:val="6C2D8D"/>
            <w:u w:val="single"/>
          </w:rPr>
          <w:t>https://www.bea.gov/resources/learning-center/what-to-know-gdp</w:t>
        </w:r>
      </w:hyperlink>
      <w:r>
        <w:rPr>
          <w:rFonts w:ascii="Calibri" w:hAnsi="Calibri"/>
          <w:color w:val="6F6878"/>
          <w:sz w:val="18"/>
        </w:rPr>
        <w:t xml:space="preserve"> — Official definition and use of GDP as a measure of final goods and services produced.</w:t>
      </w:r>
    </w:p>
    <w:p>
      <w:pPr>
        <w:keepNext/>
        <w:keepLines w:val="0"/>
        <w:spacing w:before="0" w:after="40" w:line="276" w:lineRule="auto"/>
      </w:pPr>
      <w:r>
        <w:rPr>
          <w:rFonts w:ascii="Calibri" w:hAnsi="Calibri"/>
          <w:b/>
          <w:color w:val="17131D"/>
          <w:sz w:val="20"/>
        </w:rPr>
        <w:t>Federal Reserve: Understanding Bank Deposit Growth</w:t>
      </w:r>
    </w:p>
    <w:p>
      <w:pPr>
        <w:keepNext w:val="0"/>
        <w:keepLines w:val="0"/>
        <w:spacing w:before="0" w:after="160" w:line="276" w:lineRule="auto"/>
      </w:pPr>
      <w:hyperlink r:id="rId14">
        <w:r>
          <w:rPr>
            <w:rFonts w:ascii="Calibri" w:hAnsi="Calibri"/>
            <w:color w:val="6C2D8D"/>
            <w:u w:val="single"/>
          </w:rPr>
          <w:t>https://www.federalreserve.gov/econres/notes/feds-notes/understanding-bank-deposit-growth-during-the-covid-19-pandemic-20220603.html</w:t>
        </w:r>
      </w:hyperlink>
      <w:r>
        <w:rPr>
          <w:rFonts w:ascii="Calibri" w:hAnsi="Calibri"/>
          <w:color w:val="6F6878"/>
          <w:sz w:val="18"/>
        </w:rPr>
        <w:t xml:space="preserve"> — Explains how bank lending and asset purchases can create deposits.</w:t>
      </w:r>
    </w:p>
    <w:p>
      <w:pPr>
        <w:keepNext/>
        <w:keepLines w:val="0"/>
        <w:spacing w:before="0" w:after="40" w:line="276" w:lineRule="auto"/>
      </w:pPr>
      <w:r>
        <w:rPr>
          <w:rFonts w:ascii="Calibri" w:hAnsi="Calibri"/>
          <w:b/>
          <w:color w:val="17131D"/>
          <w:sz w:val="20"/>
        </w:rPr>
        <w:t>The Purple Way canonical philosophy</w:t>
      </w:r>
    </w:p>
    <w:p>
      <w:pPr>
        <w:keepNext w:val="0"/>
        <w:keepLines w:val="0"/>
        <w:spacing w:before="0" w:after="160" w:line="276" w:lineRule="auto"/>
      </w:pPr>
      <w:hyperlink r:id="rId15">
        <w:r>
          <w:rPr>
            <w:rFonts w:ascii="Calibri" w:hAnsi="Calibri"/>
            <w:color w:val="6C2D8D"/>
            <w:u w:val="single"/>
          </w:rPr>
          <w:t>https://thepurpleway.org/philosophy</w:t>
        </w:r>
      </w:hyperlink>
      <w:r>
        <w:rPr>
          <w:rFonts w:ascii="Calibri" w:hAnsi="Calibri"/>
          <w:color w:val="6F6878"/>
          <w:sz w:val="18"/>
        </w:rPr>
        <w:t xml:space="preserve"> — Primary public source for the philosophy, definitions, safeguards, and source hierarchy.</w:t>
      </w:r>
    </w:p>
    <w:p>
      <w:pPr>
        <w:keepNext/>
        <w:keepLines w:val="0"/>
        <w:spacing w:before="0" w:after="40" w:line="276" w:lineRule="auto"/>
      </w:pPr>
      <w:r>
        <w:rPr>
          <w:rFonts w:ascii="Calibri" w:hAnsi="Calibri"/>
          <w:b/>
          <w:color w:val="17131D"/>
          <w:sz w:val="20"/>
        </w:rPr>
        <w:t>The Purple Way publications</w:t>
      </w:r>
    </w:p>
    <w:p>
      <w:pPr>
        <w:keepNext w:val="0"/>
        <w:keepLines w:val="0"/>
        <w:spacing w:before="0" w:after="160" w:line="276" w:lineRule="auto"/>
      </w:pPr>
      <w:hyperlink r:id="rId16">
        <w:r>
          <w:rPr>
            <w:rFonts w:ascii="Calibri" w:hAnsi="Calibri"/>
            <w:color w:val="6C2D8D"/>
            <w:u w:val="single"/>
          </w:rPr>
          <w:t>https://thepurpleway.org/#publications</w:t>
        </w:r>
      </w:hyperlink>
      <w:r>
        <w:rPr>
          <w:rFonts w:ascii="Calibri" w:hAnsi="Calibri"/>
          <w:color w:val="6F6878"/>
          <w:sz w:val="18"/>
        </w:rPr>
        <w:t xml:space="preserve"> — Books and clearly labeled AI assessments concerning the framework.</w:t>
      </w:r>
    </w:p>
    <w:p>
      <w:pPr>
        <w:pStyle w:val="Heading2"/>
      </w:pPr>
      <w:r>
        <w:t>Citation</w:t>
      </w:r>
    </w:p>
    <w:p>
      <w:pPr>
        <w:keepNext w:val="0"/>
        <w:keepLines w:val="0"/>
        <w:spacing w:before="0" w:after="160" w:line="320" w:lineRule="auto"/>
        <w:jc w:val="left"/>
      </w:pPr>
      <w:r>
        <w:rPr>
          <w:rFonts w:ascii="Calibri" w:hAnsi="Calibri"/>
          <w:i/>
          <w:color w:val="17131D"/>
          <w:sz w:val="22"/>
        </w:rPr>
        <w:t>Penland, Rustin. The Purple Voter Guide: The Sovereign Citizen's Choice - Why a Purple Candidate Changes Your Financial Destiny. The Purple Way, August 2026.</w:t>
      </w:r>
    </w:p>
    <w:tbl>
      <w:tblPr>
        <w:tblW w:type="dxa" w:w="9360"/>
        <w:jc w:val="left"/>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shd w:fill="F1EAF5"/>
            <w:tcBorders>
              <w:top w:val="nil"/>
              <w:start w:val="single" w:sz="18" w:space="0" w:color="4E176F"/>
              <w:bottom w:val="nil"/>
              <w:end w:val="nil"/>
            </w:tcBorders>
            <w:vAlign w:val="center"/>
          </w:tcPr>
          <w:p>
            <w:pPr>
              <w:keepNext/>
              <w:keepLines w:val="0"/>
              <w:spacing w:before="0" w:after="60" w:line="240" w:lineRule="auto"/>
            </w:pPr>
            <w:r>
              <w:rPr>
                <w:rFonts w:ascii="Calibri" w:hAnsi="Calibri"/>
                <w:b/>
                <w:caps/>
                <w:color w:val="4E176F"/>
                <w:sz w:val="17"/>
              </w:rPr>
              <w:t>FINAL READER NOTE</w:t>
            </w:r>
          </w:p>
          <w:p>
            <w:pPr>
              <w:keepNext w:val="0"/>
              <w:keepLines w:val="0"/>
              <w:spacing w:before="0" w:after="0" w:line="288" w:lineRule="auto"/>
            </w:pPr>
            <w:r>
              <w:rPr>
                <w:rFonts w:ascii="Calibri" w:hAnsi="Calibri"/>
                <w:b/>
                <w:color w:val="17131D"/>
                <w:sz w:val="23"/>
              </w:rPr>
              <w:t>This guide is an invitation to examine a proposed system, not an instruction to suspend judgment. Read the full plan. Challenge its assumptions. Demand lawful details. Compare evidence. Then vote as a sovereign citizen.</w:t>
            </w:r>
          </w:p>
        </w:tc>
      </w:tr>
    </w:tbl>
    <w:p>
      <w:pPr>
        <w:keepNext w:val="0"/>
        <w:keepLines w:val="0"/>
        <w:spacing w:before="0" w:after="60" w:line="240" w:lineRule="auto"/>
      </w:pP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color w:val="6F6878"/>
        <w:sz w:val="17"/>
      </w:rPr>
      <w:t xml:space="preserve">THE PURPLE WAY   |   </w:t>
    </w:r>
    <w:fldSimple w:instr="PAGE">
      <w:r>
        <w:rPr>
          <w:rFonts w:ascii="Calibri" w:hAnsi="Calibri"/>
          <w:color w:val="6F6878"/>
          <w:sz w:val="17"/>
        </w:rP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keepLines w:val="0"/>
      <w:spacing w:before="0" w:after="0" w:line="240" w:lineRule="auto"/>
      <w:jc w:val="left"/>
    </w:pPr>
    <w:r>
      <w:rPr>
        <w:rFonts w:ascii="Calibri" w:hAnsi="Calibri"/>
        <w:b/>
        <w:caps/>
        <w:color w:val="4E176F"/>
        <w:sz w:val="17"/>
      </w:rPr>
      <w:t>THE PURPLE VOTER GUIDE</w:t>
    </w:r>
    <w:r>
      <w:rPr>
        <w:rFonts w:ascii="Calibri" w:hAnsi="Calibri"/>
        <w:b/>
        <w:caps/>
        <w:color w:val="6F6878"/>
        <w:sz w:val="17"/>
      </w:rPr>
      <w:t xml:space="preserve">   |   RUSTIN PENLAND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multiLevelType w:val="singleLevel"/>
    <w:lvl w:ilvl="0">
      <w:start w:val="1"/>
      <w:numFmt w:val="bullet"/>
      <w:lvlText w:val="•"/>
      <w:lvlJc w:val="left"/>
      <w:pPr>
        <w:tabs>
          <w:tab w:val="num" w:pos="540"/>
        </w:tabs>
        <w:ind w:left="540" w:hanging="280"/>
      </w:pPr>
      <w:rPr>
        <w:rFonts w:ascii="Calibri" w:hAnsi="Calibri"/>
        <w:color w:val="4E176F"/>
      </w:rPr>
    </w:lvl>
  </w:abstractNum>
  <w:abstractNum w:abstractNumId="91">
    <w:multiLevelType w:val="singleLevel"/>
    <w:lvl w:ilvl="0">
      <w:start w:val="1"/>
      <w:numFmt w:val="decimal"/>
      <w:lvlText w:val="%1."/>
      <w:lvlJc w:val="left"/>
      <w:pPr>
        <w:tabs>
          <w:tab w:val="num" w:pos="540"/>
        </w:tabs>
        <w:ind w:left="540" w:hanging="280"/>
      </w:pPr>
      <w:rPr>
        <w:rFonts w:ascii="Calibri" w:hAnsi="Calibri"/>
        <w:color w:val="4E176F"/>
      </w:rPr>
    </w:lvl>
  </w:abstractNum>
  <w:num w:numId="90">
    <w:abstractNumId w:val="90"/>
  </w:num>
  <w:num w:numId="91">
    <w:abstractNumId w:val="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17131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4E176F"/>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ascii="Calibri" w:hAnsi="Calibri"/>
      <w:b/>
      <w:bCs/>
      <w:color w:val="4E176F"/>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b/>
      <w:bCs/>
      <w:color w:val="210D3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constitution.congress.gov/browse/article-2/section-4/" TargetMode="External"/><Relationship Id="rId12" Type="http://schemas.openxmlformats.org/officeDocument/2006/relationships/hyperlink" Target="https://constitution.congress.gov/constitution/amendment-25/" TargetMode="External"/><Relationship Id="rId13" Type="http://schemas.openxmlformats.org/officeDocument/2006/relationships/hyperlink" Target="https://www.bea.gov/resources/learning-center/what-to-know-gdp" TargetMode="External"/><Relationship Id="rId14" Type="http://schemas.openxmlformats.org/officeDocument/2006/relationships/hyperlink" Target="https://www.federalreserve.gov/econres/notes/feds-notes/understanding-bank-deposit-growth-during-the-covid-19-pandemic-20220603.html" TargetMode="External"/><Relationship Id="rId15" Type="http://schemas.openxmlformats.org/officeDocument/2006/relationships/hyperlink" Target="https://thepurpleway.org/philosophy" TargetMode="External"/><Relationship Id="rId16" Type="http://schemas.openxmlformats.org/officeDocument/2006/relationships/hyperlink" Target="https://thepurpleway.org/#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Purple Voter Guide</dc:title>
  <dc:subject>The Sovereign Citizen's Choice: Why a Purple Candidate Changes Your Financial Destiny</dc:subject>
  <dc:creator>Rustin Penland</dc:creator>
  <cp:keywords>The Purple Way, Human Capital Conservatism, Statesman Contract, Productive Credit, voter guide</cp:keywords>
  <dc:description>Primary civic and political philosophy source by Rustin Penland.</dc:description>
  <cp:lastModifiedBy/>
  <cp:revision>1</cp:revision>
  <dcterms:created xsi:type="dcterms:W3CDTF">2013-12-23T23:15:00Z</dcterms:created>
  <dcterms:modified xsi:type="dcterms:W3CDTF">2013-12-23T23:15:00Z</dcterms:modified>
  <cp:category/>
</cp:coreProperties>
</file>