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p>
    <w:p>
      <w:pPr>
        <w:widowControl/>
      </w:pPr>
    </w:p>
    <w:p>
      <w:pPr>
        <w:widowControl/>
      </w:pPr>
    </w:p>
    <w:p>
      <w:pPr>
        <w:widowControl/>
      </w:pPr>
    </w:p>
    <w:p>
      <w:pPr>
        <w:widowControl/>
      </w:pPr>
    </w:p>
    <w:p>
      <w:pPr>
        <w:widowControl/>
        <w:spacing w:after="240"/>
        <w:jc w:val="center"/>
      </w:pPr>
      <w:r>
        <w:rPr>
          <w:rFonts w:ascii="Calibri" w:hAnsi="Calibri"/>
          <w:b/>
          <w:color w:val="21143A"/>
          <w:sz w:val="60"/>
        </w:rPr>
        <w:t>BEYOND THE</w:t>
        <w:br/>
        <w:t>OPPORTUNITY SOCIETY</w:t>
      </w:r>
    </w:p>
    <w:p>
      <w:pPr>
        <w:widowControl/>
        <w:spacing w:after="600"/>
        <w:jc w:val="center"/>
      </w:pPr>
      <w:r>
        <w:rPr>
          <w:color w:val="6B3FA0"/>
          <w:sz w:val="32"/>
        </w:rPr>
        <w:t>Newt Gingrich, the Purple Way, and the Case for Human Capital Conservatism</w:t>
      </w:r>
    </w:p>
    <w:p>
      <w:pPr>
        <w:widowControl/>
        <w:jc w:val="center"/>
      </w:pPr>
      <w:r>
        <w:rPr>
          <w:i/>
          <w:color w:val="66616D"/>
          <w:sz w:val="22"/>
        </w:rPr>
        <w:t>A comparative political and economic analysis</w:t>
      </w:r>
    </w:p>
    <w:p>
      <w:pPr>
        <w:widowControl/>
      </w:pPr>
    </w:p>
    <w:p>
      <w:pPr>
        <w:widowControl/>
      </w:pPr>
    </w:p>
    <w:p>
      <w:pPr>
        <w:widowControl/>
      </w:pPr>
    </w:p>
    <w:p>
      <w:pPr>
        <w:widowControl/>
      </w:pPr>
    </w:p>
    <w:p>
      <w:pPr>
        <w:widowControl/>
      </w:pPr>
    </w:p>
    <w:p>
      <w:pPr>
        <w:widowControl/>
        <w:jc w:val="center"/>
      </w:pPr>
      <w:r>
        <w:rPr>
          <w:b/>
          <w:color w:val="21143A"/>
          <w:sz w:val="24"/>
        </w:rPr>
        <w:t>The Purple Way and Human Capital Conservatism</w:t>
        <w:br/>
        <w:t>Concepts developed by Rustin Penland</w:t>
      </w:r>
    </w:p>
    <w:p>
      <w:pPr>
        <w:widowControl/>
        <w:jc w:val="center"/>
      </w:pPr>
      <w:r>
        <w:rPr>
          <w:color w:val="66616D"/>
          <w:sz w:val="19"/>
        </w:rPr>
        <w:t>Comparative assessment and analytical opinion woven throughout</w:t>
      </w:r>
    </w:p>
    <w:p>
      <w:pPr>
        <w:widowControl/>
      </w:pPr>
      <w:r>
        <w:br w:type="page"/>
      </w:r>
    </w:p>
    <w:p>
      <w:pPr>
        <w:pStyle w:val="Heading1"/>
        <w:keepNext/>
        <w:widowControl/>
      </w:pPr>
      <w:r>
        <w:t>A Note to the Reader</w:t>
      </w:r>
    </w:p>
    <w:p>
      <w:pPr>
        <w:widowControl/>
      </w:pPr>
      <w:r>
        <w:t>This book compares the recurring public-policy ideas in Newt Gingrich’s major nonfiction works with the Purple Way and Human Capital Conservatism developed by Rustin Penland. Gingrich has also written or co-written historical novels, military thrillers, biographies, campaign histories, religious works, and books centered on Donald Trump. Those works are included when they illuminate his governing philosophy, but this is not a literary review of every fictional plot. It is a philosophical comparison of the ideas that recur across his public career.</w:t>
      </w:r>
    </w:p>
    <w:p>
      <w:pPr>
        <w:widowControl/>
      </w:pPr>
      <w:r>
        <w:t>No claim is made that Newt Gingrich has endorsed the Purple Way, Human Capital Conservatism, Rustin Penland, or this analysis. “Alignment” means that two ideas point in a similar direction; it does not mean that their authors reached an agreement or used the same reasoning.</w:t>
      </w:r>
    </w:p>
    <w:p>
      <w:pPr>
        <w:pStyle w:val="BookQuote"/>
        <w:widowControl/>
        <w:shd w:fill="F3EFF8"/>
      </w:pPr>
      <w:r>
        <w:rPr>
          <w:b/>
          <w:i w:val="0"/>
          <w:color w:val="6B3FA0"/>
        </w:rPr>
        <w:t xml:space="preserve">MY ASSESSMENT: </w:t>
      </w:r>
      <w:r>
        <w:t>The fairest conclusion is not that the Purple Way copies Gingrich, nor that Gingrich anticipated every part of it. Gingrich supplies an important argument for opportunity, innovation, decentralization, and entrepreneurship. Human Capital Conservatism takes that argument further by asking how a nation can deliberately create more capable, equipped, owning, and independent people—and how public power can be exchanged only for verified public value.</w:t>
      </w:r>
    </w:p>
    <w:p>
      <w:pPr>
        <w:pStyle w:val="Heading1"/>
        <w:keepNext/>
        <w:widowControl/>
      </w:pPr>
      <w:r>
        <w:t>Contents</w:t>
      </w:r>
    </w:p>
    <w:p>
      <w:pPr>
        <w:pStyle w:val="ListBullet"/>
        <w:widowControl/>
        <w:spacing w:after="20" w:line="240" w:lineRule="auto"/>
      </w:pPr>
      <w:r>
        <w:rPr>
          <w:sz w:val="19"/>
        </w:rPr>
        <w:t>Introduction — The Door and the Person Who Must Walk Through It</w:t>
      </w:r>
    </w:p>
    <w:p>
      <w:pPr>
        <w:pStyle w:val="ListBullet"/>
        <w:widowControl/>
        <w:spacing w:after="20" w:line="240" w:lineRule="auto"/>
      </w:pPr>
      <w:r>
        <w:rPr>
          <w:sz w:val="19"/>
        </w:rPr>
        <w:t>1. Gingrich’s Opportunity Society</w:t>
      </w:r>
    </w:p>
    <w:p>
      <w:pPr>
        <w:pStyle w:val="ListBullet"/>
        <w:widowControl/>
        <w:spacing w:after="20" w:line="240" w:lineRule="auto"/>
      </w:pPr>
      <w:r>
        <w:rPr>
          <w:sz w:val="19"/>
        </w:rPr>
        <w:t>2. The Definition of Human Capital Conservatism</w:t>
      </w:r>
    </w:p>
    <w:p>
      <w:pPr>
        <w:pStyle w:val="ListBullet"/>
        <w:widowControl/>
        <w:spacing w:after="20" w:line="240" w:lineRule="auto"/>
      </w:pPr>
      <w:r>
        <w:rPr>
          <w:sz w:val="19"/>
        </w:rPr>
        <w:t>3. Entrepreneurship Woven Through the Purple Way</w:t>
      </w:r>
    </w:p>
    <w:p>
      <w:pPr>
        <w:pStyle w:val="ListBullet"/>
        <w:widowControl/>
        <w:spacing w:after="20" w:line="240" w:lineRule="auto"/>
      </w:pPr>
      <w:r>
        <w:rPr>
          <w:sz w:val="19"/>
        </w:rPr>
        <w:t>4. From Welfare to Capability</w:t>
      </w:r>
    </w:p>
    <w:p>
      <w:pPr>
        <w:pStyle w:val="ListBullet"/>
        <w:widowControl/>
        <w:spacing w:after="20" w:line="240" w:lineRule="auto"/>
      </w:pPr>
      <w:r>
        <w:rPr>
          <w:sz w:val="19"/>
        </w:rPr>
        <w:t>5. Knowledge as Capital</w:t>
      </w:r>
    </w:p>
    <w:p>
      <w:pPr>
        <w:pStyle w:val="ListBullet"/>
        <w:widowControl/>
        <w:spacing w:after="20" w:line="240" w:lineRule="auto"/>
      </w:pPr>
      <w:r>
        <w:rPr>
          <w:sz w:val="19"/>
        </w:rPr>
        <w:t>6. Government: Smaller, Smarter, or Reconstructed?</w:t>
      </w:r>
    </w:p>
    <w:p>
      <w:pPr>
        <w:pStyle w:val="ListBullet"/>
        <w:widowControl/>
        <w:spacing w:after="20" w:line="240" w:lineRule="auto"/>
      </w:pPr>
      <w:r>
        <w:rPr>
          <w:sz w:val="19"/>
        </w:rPr>
        <w:t>7. The Public Benefit Exchange</w:t>
      </w:r>
    </w:p>
    <w:p>
      <w:pPr>
        <w:pStyle w:val="ListBullet"/>
        <w:widowControl/>
        <w:spacing w:after="20" w:line="240" w:lineRule="auto"/>
      </w:pPr>
      <w:r>
        <w:rPr>
          <w:sz w:val="19"/>
        </w:rPr>
        <w:t>8. Energy, Abundance, and the Cost of Living</w:t>
      </w:r>
    </w:p>
    <w:p>
      <w:pPr>
        <w:pStyle w:val="ListBullet"/>
        <w:widowControl/>
        <w:spacing w:after="20" w:line="240" w:lineRule="auto"/>
      </w:pPr>
      <w:r>
        <w:rPr>
          <w:sz w:val="19"/>
        </w:rPr>
        <w:t>9. Technology and the Breakout Society</w:t>
      </w:r>
    </w:p>
    <w:p>
      <w:pPr>
        <w:pStyle w:val="ListBullet"/>
        <w:widowControl/>
        <w:spacing w:after="20" w:line="240" w:lineRule="auto"/>
      </w:pPr>
      <w:r>
        <w:rPr>
          <w:sz w:val="19"/>
        </w:rPr>
        <w:t>10. Money, Debt, and Productive Capital</w:t>
      </w:r>
    </w:p>
    <w:p>
      <w:pPr>
        <w:pStyle w:val="ListBullet"/>
        <w:widowControl/>
        <w:spacing w:after="20" w:line="240" w:lineRule="auto"/>
      </w:pPr>
      <w:r>
        <w:rPr>
          <w:sz w:val="19"/>
        </w:rPr>
        <w:t>11. Faith, Character, and Benevolent Action</w:t>
      </w:r>
    </w:p>
    <w:p>
      <w:pPr>
        <w:pStyle w:val="ListBullet"/>
        <w:widowControl/>
        <w:spacing w:after="20" w:line="240" w:lineRule="auto"/>
      </w:pPr>
      <w:r>
        <w:rPr>
          <w:sz w:val="19"/>
        </w:rPr>
        <w:t>12. National Strength and Foreign Policy</w:t>
      </w:r>
    </w:p>
    <w:p>
      <w:pPr>
        <w:pStyle w:val="ListBullet"/>
        <w:widowControl/>
        <w:spacing w:after="20" w:line="240" w:lineRule="auto"/>
      </w:pPr>
      <w:r>
        <w:rPr>
          <w:sz w:val="19"/>
        </w:rPr>
        <w:t>13. Political Method: Majority vs. Purple Alignment</w:t>
      </w:r>
    </w:p>
    <w:p>
      <w:pPr>
        <w:pStyle w:val="ListBullet"/>
        <w:widowControl/>
        <w:spacing w:after="20" w:line="240" w:lineRule="auto"/>
      </w:pPr>
      <w:r>
        <w:rPr>
          <w:sz w:val="19"/>
        </w:rPr>
        <w:t>14. Where Gingrich Is Stronger—and Where the Purple Way Advances the Argument</w:t>
      </w:r>
    </w:p>
    <w:p>
      <w:pPr>
        <w:pStyle w:val="ListBullet"/>
        <w:widowControl/>
        <w:spacing w:after="20" w:line="240" w:lineRule="auto"/>
      </w:pPr>
      <w:r>
        <w:rPr>
          <w:sz w:val="19"/>
        </w:rPr>
        <w:t>Conclusion — Beyond Opportunity to Residual Power</w:t>
      </w:r>
    </w:p>
    <w:p>
      <w:pPr>
        <w:pStyle w:val="ListBullet"/>
        <w:widowControl/>
        <w:spacing w:after="20" w:line="240" w:lineRule="auto"/>
      </w:pPr>
      <w:r>
        <w:rPr>
          <w:sz w:val="19"/>
        </w:rPr>
        <w:t>Appendix A — Work-by-Work Map</w:t>
      </w:r>
    </w:p>
    <w:p>
      <w:pPr>
        <w:pStyle w:val="ListBullet"/>
        <w:widowControl/>
        <w:spacing w:after="20" w:line="240" w:lineRule="auto"/>
      </w:pPr>
      <w:r>
        <w:rPr>
          <w:sz w:val="19"/>
        </w:rPr>
        <w:t>Appendix B — Sources and Method</w:t>
      </w:r>
    </w:p>
    <w:p>
      <w:pPr>
        <w:widowControl/>
      </w:pPr>
      <w:r>
        <w:br w:type="page"/>
      </w:r>
    </w:p>
    <w:p>
      <w:pPr>
        <w:pStyle w:val="Heading1"/>
        <w:keepNext/>
        <w:widowControl/>
      </w:pPr>
      <w:r>
        <w:t>Introduction</w:t>
      </w:r>
    </w:p>
    <w:p>
      <w:pPr>
        <w:pStyle w:val="Heading2"/>
        <w:keepNext/>
        <w:widowControl/>
      </w:pPr>
      <w:r>
        <w:t>The Door and the Person Who Must Walk Through It</w:t>
      </w:r>
    </w:p>
    <w:p>
      <w:pPr>
        <w:widowControl/>
      </w:pPr>
      <w:r>
        <w:t>Newt Gingrich’s governing imagination has always been larger than the common caricature of “cut taxes and shrink government.” Beginning with Window of Opportunity and the Conservative Opportunity Society, he argued that America should become an opportunity society: a civilization driven by invention, learning, scientific achievement, entrepreneurial risk, decentralized authority, and confidence in ordinary citizens. His famous political work, the Contract with America, translated parts of that philosophy into promises about congressional accountability, welfare, family, savings, taxation, regulation, and budget discipline. Later books returned repeatedly to the same contrast: pioneers of the future against guardians of obsolete systems; a world that works against a world that fails; productive citizens against dependency-producing bureaucracies.</w:t>
      </w:r>
    </w:p>
    <w:p>
      <w:pPr>
        <w:widowControl/>
      </w:pPr>
      <w:r>
        <w:t>Human Capital Conservatism stands near this tradition, but it changes the center of gravity. Gingrich asks how society can open the door to opportunity. The Purple Way asks what a person must possess in order to walk through that door. Freedom from regulation matters, but freedom alone does not supply health, knowledge, tools, credentials, confidence, savings, transportation, relationships, or ownership. A nation may announce opportunity while millions remain structurally unable to use it.</w:t>
      </w:r>
    </w:p>
    <w:p>
      <w:pPr>
        <w:widowControl/>
      </w:pPr>
      <w:r>
        <w:t>The Purple Way therefore defines people themselves—not merely money, corporations, or government revenue—as the republic’s primary capital. Human capital includes knowledge, health, skill, judgment, creativity, character, productive relationships, and the ability to recognize and solve problems. Productive capital includes tools, equipment, energy, infrastructure, intellectual property, homes, businesses, and systems that allow this human capacity to create durable value.</w:t>
      </w:r>
    </w:p>
    <w:p>
      <w:pPr>
        <w:pStyle w:val="BookQuote"/>
        <w:widowControl/>
        <w:shd w:fill="F3EFF8"/>
      </w:pPr>
      <w:r>
        <w:rPr>
          <w:b/>
          <w:i w:val="0"/>
          <w:color w:val="6B3FA0"/>
        </w:rPr>
        <w:t xml:space="preserve">MY ASSESSMENT: </w:t>
      </w:r>
      <w:r>
        <w:t>Gingrich’s opportunity society is a strong beginning. Human Capital Conservatism is favored in this comparison because it supplies the missing production process: it seeks not only to reward initiative after it appears, but to cultivate initiative, equip it, connect it to ownership, and measure whether public action leaves residual power in the citizen.</w:t>
      </w:r>
    </w:p>
    <w:p>
      <w:pPr>
        <w:widowControl/>
      </w:pPr>
      <w:r>
        <w:br w:type="page"/>
      </w:r>
    </w:p>
    <w:p>
      <w:pPr>
        <w:widowControl/>
        <w:spacing w:before="480" w:after="80"/>
      </w:pPr>
      <w:r>
        <w:rPr>
          <w:b/>
          <w:color w:val="B8913B"/>
          <w:sz w:val="20"/>
        </w:rPr>
        <w:t>CHAPTER 1</w:t>
      </w:r>
    </w:p>
    <w:p>
      <w:pPr>
        <w:pStyle w:val="Heading1"/>
        <w:keepNext/>
        <w:widowControl/>
        <w:spacing w:before="0"/>
      </w:pPr>
      <w:r>
        <w:t>Gingrich’s Opportunity Society</w:t>
      </w:r>
    </w:p>
    <w:p>
      <w:pPr>
        <w:pStyle w:val="BookQuote"/>
        <w:widowControl/>
        <w:shd w:fill="F3EFF8"/>
      </w:pPr>
      <w:r>
        <w:rPr>
          <w:b/>
          <w:i w:val="0"/>
          <w:color w:val="6B3FA0"/>
        </w:rPr>
        <w:t xml:space="preserve">CHAPTER JUDGMENT: </w:t>
      </w:r>
      <w:r>
        <w:t>The deepest overlap is a belief that the future is created by citizens and innovators, not administered into existence by a permanent bureaucracy.</w:t>
      </w:r>
    </w:p>
    <w:p>
      <w:pPr>
        <w:widowControl/>
      </w:pPr>
      <w:r>
        <w:t>In Window of Opportunity: A Blueprint for the Future, Gingrich offered an “opportunity society” built partly on computer technology, space exploration, and institutional modernization. The book’s importance is not any one dated technical prediction. Its enduring idea is that government should anticipate a changing civilization instead of freezing old arrangements in place. Gingrich saw information and invention as forces that could redistribute power away from centralized institutions.</w:t>
      </w:r>
    </w:p>
    <w:p>
      <w:pPr>
        <w:widowControl/>
      </w:pPr>
      <w:r>
        <w:t>That theme became political organization. The Conservative Opportunity Society was both a faction and a method: recruit people willing to think in decades, challenge an entrenched majority, use communication technology, and make conservative governance sound creative rather than merely defensive. The 1994 Contract with America then offered written commitments, including congressional reform, tax relief, savings accounts, welfare changes, family policy, tort reform, regulatory relief, defense, and budget discipline. Its signature achievement was not philosophical completeness; it was converting ideas into a public contract with deadlines and votes.</w:t>
      </w:r>
    </w:p>
    <w:p>
      <w:pPr>
        <w:widowControl/>
      </w:pPr>
      <w:r>
        <w:t>To Renew America added civilizational themes—family, safety, values, learning, and the American founding. Winning the Future updated the formula for terrorism, science and mathematics, Social Security, health care, immigration, trade, technology, and government performance. Real Change contrasted systems that fail with systems that work. The Art of Transformation argued that incremental reform is often insufficient when an institution’s assumptions are obsolete. Breakout later dramatized the contest between innovators producing breakthroughs and institutional “prison guards” protecting the past.</w:t>
      </w:r>
    </w:p>
    <w:p>
      <w:pPr>
        <w:widowControl/>
      </w:pPr>
      <w:r>
        <w:t>These works share five convictions: the future can be shaped; knowledge matters; bureaucracy becomes self-protective; citizens need room to act; and leadership must define a comprehensible destination. Those convictions fit comfortably within the Purple Way.</w:t>
      </w:r>
    </w:p>
    <w:p>
      <w:pPr>
        <w:pStyle w:val="BookQuote"/>
        <w:widowControl/>
        <w:shd w:fill="F3EFF8"/>
      </w:pPr>
      <w:r>
        <w:rPr>
          <w:b/>
          <w:i w:val="0"/>
          <w:color w:val="6B3FA0"/>
        </w:rPr>
        <w:t xml:space="preserve">MY ASSESSMENT: </w:t>
      </w:r>
      <w:r>
        <w:t>The Purple Way should openly credit this intellectual kinship. Gingrich is one of the modern conservative figures who treated entrepreneurship and technology as governing principles rather than narrow business topics. Yet his framework usually assumes that liberated innovation will diffuse its benefits. Human Capital Conservatism adds the duty to verify who becomes more capable, who owns the resulting value, and whether household costs and dependency actually decline.</w:t>
      </w:r>
    </w:p>
    <w:p>
      <w:pPr>
        <w:widowControl/>
      </w:pPr>
      <w:r>
        <w:br w:type="page"/>
      </w:r>
    </w:p>
    <w:p>
      <w:pPr>
        <w:widowControl/>
        <w:spacing w:before="480" w:after="80"/>
      </w:pPr>
      <w:r>
        <w:rPr>
          <w:b/>
          <w:color w:val="B8913B"/>
          <w:sz w:val="20"/>
        </w:rPr>
        <w:t>CHAPTER 2</w:t>
      </w:r>
    </w:p>
    <w:p>
      <w:pPr>
        <w:pStyle w:val="Heading1"/>
        <w:keepNext/>
        <w:widowControl/>
        <w:spacing w:before="0"/>
      </w:pPr>
      <w:r>
        <w:t>The Definition of Human Capital Conservatism</w:t>
      </w:r>
    </w:p>
    <w:p>
      <w:pPr>
        <w:pStyle w:val="BookQuote"/>
        <w:widowControl/>
        <w:shd w:fill="F3EFF8"/>
      </w:pPr>
      <w:r>
        <w:rPr>
          <w:b/>
          <w:i w:val="0"/>
          <w:color w:val="6B3FA0"/>
        </w:rPr>
        <w:t xml:space="preserve">CHAPTER JUDGMENT: </w:t>
      </w:r>
      <w:r>
        <w:t>The object being conserved is not an old bureaucracy or even capital in the narrow financial sense. It is the productive power carried by people.</w:t>
      </w:r>
    </w:p>
    <w:p>
      <w:pPr>
        <w:widowControl/>
      </w:pPr>
      <w:r>
        <w:t>Conservatism is often described as the defense of inherited institutions, limited government, private property, family, order, and gradual change. Human Capital Conservatism accepts the value of stability and responsibility but identifies a more fundamental inheritance: the accumulated ability of people to understand, make, repair, judge, teach, organize, care, invent, and pass value forward.</w:t>
      </w:r>
    </w:p>
    <w:p>
      <w:pPr>
        <w:widowControl/>
      </w:pPr>
      <w:r>
        <w:t>This produces a different test for policy. The question is not only whether a program spends less, nor whether it distributes more. The question is what remains after the intervention. Does the person possess better health, useful knowledge, a portable credential, stronger judgment, savings, tools, a home, a business, intellectual property, or another productive asset? Can the person make a better decision without the program next time? Can the person help someone else?</w:t>
      </w:r>
    </w:p>
    <w:p>
      <w:pPr>
        <w:widowControl/>
      </w:pPr>
      <w:r>
        <w:t>This is the residual-power test. It distinguishes temporary relief from transformation. Relief may be morally necessary, especially during disability, aging, caregiving, displacement, disaster, or sudden crisis. But whenever growth is realistically possible, support should be designed to leave a productive remainder in the recipient.</w:t>
      </w:r>
    </w:p>
    <w:p>
      <w:pPr>
        <w:widowControl/>
      </w:pPr>
      <w:r>
        <w:t>Human Capital Conservatism therefore refuses the usual choice between a cold withdrawal of government and permanent subsidy. It joins protection to preparation. It supports the person while creating a path toward greater capability and ownership. It also refuses to treat workers as depreciating inputs whose only civic role is to earn wages and pay taxes. A worker who gains skill, bargaining power, tools, savings, and equity becomes a stronger citizen as well as a stronger economic actor.</w:t>
      </w:r>
    </w:p>
    <w:p>
      <w:pPr>
        <w:pStyle w:val="BookQuote"/>
        <w:widowControl/>
        <w:shd w:fill="F3EFF8"/>
      </w:pPr>
      <w:r>
        <w:rPr>
          <w:b/>
          <w:i w:val="0"/>
          <w:color w:val="6B3FA0"/>
        </w:rPr>
        <w:t xml:space="preserve">MY ASSESSMENT: </w:t>
      </w:r>
      <w:r>
        <w:t>This is where the Purple Way improves upon the ordinary opportunity-society formula. Opportunity describes the environment. Human capital describes the person’s usable power within that environment. A successful republic must attend to both.</w:t>
      </w:r>
    </w:p>
    <w:p>
      <w:pPr>
        <w:widowControl/>
      </w:pPr>
      <w:r>
        <w:br w:type="page"/>
      </w:r>
    </w:p>
    <w:p>
      <w:pPr>
        <w:widowControl/>
        <w:spacing w:before="480" w:after="80"/>
      </w:pPr>
      <w:r>
        <w:rPr>
          <w:b/>
          <w:color w:val="B8913B"/>
          <w:sz w:val="20"/>
        </w:rPr>
        <w:t>CHAPTER 3</w:t>
      </w:r>
    </w:p>
    <w:p>
      <w:pPr>
        <w:pStyle w:val="Heading1"/>
        <w:keepNext/>
        <w:widowControl/>
        <w:spacing w:before="0"/>
      </w:pPr>
      <w:r>
        <w:t>Entrepreneurship Woven Through the Purple Way</w:t>
      </w:r>
    </w:p>
    <w:p>
      <w:pPr>
        <w:pStyle w:val="BookQuote"/>
        <w:widowControl/>
        <w:shd w:fill="F3EFF8"/>
      </w:pPr>
      <w:r>
        <w:rPr>
          <w:b/>
          <w:i w:val="0"/>
          <w:color w:val="6B3FA0"/>
        </w:rPr>
        <w:t xml:space="preserve">CHAPTER JUDGMENT: </w:t>
      </w:r>
      <w:r>
        <w:t>Entrepreneurship is not a decorative promise in Human Capital Conservatism; it is the mechanism that converts human capability into public and private value.</w:t>
      </w:r>
    </w:p>
    <w:p>
      <w:pPr>
        <w:widowControl/>
      </w:pPr>
      <w:r>
        <w:t>Gingrich repeatedly treats entrepreneurs and innovators as pioneers. His 2011 job-creation program sought to free entrepreneurs and small businesses through deregulation, tax reform, and greater American energy production. In A Contract with the Earth, he and Terry Maple argued for entrepreneurial environmentalism: business, conservation, science, incentives, and partnership could solve problems that adversarial politics left frozen. In Breakout, medicine, transportation, energy, and education become arenas in which pioneers challenge systems invested in yesterday.</w:t>
      </w:r>
    </w:p>
    <w:p>
      <w:pPr>
        <w:widowControl/>
      </w:pPr>
      <w:r>
        <w:t>Human Capital Conservatism agrees that entrepreneurial activity is a primary engine of renewal. But “entrepreneur” must be understood more broadly than a venture-funded founder. The grocery-store technician who restores a failed payment system on a Saturday morning is entrepreneurial. In minutes, his knowledge prevents days of lost transactions. The shop owner who reorganizes inventory, the mechanic who diagnoses what others miss, the caregiver who creates a better routine, and the manufacturer who redesigns a product to use less energy are all converting judgment into value.</w:t>
      </w:r>
    </w:p>
    <w:p>
      <w:pPr>
        <w:widowControl/>
      </w:pPr>
      <w:r>
        <w:t>The Purple Way seeks to multiply this activity through a cycle: stabilize the person; develop useful knowledge and health; supply access to tools and networks; reward verified problem-solving; enable savings and ownership; and allow the successful person to train, employ, invest in, or trade with others. Entrepreneurship is therefore woven through education, welfare, procurement, taxation, technology, and local government rather than confined to a small-business chapter.</w:t>
      </w:r>
    </w:p>
    <w:p>
      <w:pPr>
        <w:pStyle w:val="Heading2"/>
        <w:keepNext/>
        <w:widowControl/>
      </w:pPr>
      <w:r>
        <w:t>The entrepreneurial chain</w:t>
      </w:r>
    </w:p>
    <w:p>
      <w:pPr>
        <w:pStyle w:val="ListBullet"/>
        <w:widowControl/>
      </w:pPr>
      <w:r>
        <w:t>Knowledge allows a person to recognize an unmet need.</w:t>
      </w:r>
    </w:p>
    <w:p>
      <w:pPr>
        <w:pStyle w:val="ListBullet"/>
        <w:widowControl/>
      </w:pPr>
      <w:r>
        <w:t>Judgment allows the person to choose a workable response.</w:t>
      </w:r>
    </w:p>
    <w:p>
      <w:pPr>
        <w:pStyle w:val="ListBullet"/>
        <w:widowControl/>
      </w:pPr>
      <w:r>
        <w:t>Tools and productive assets allow the response to be delivered.</w:t>
      </w:r>
    </w:p>
    <w:p>
      <w:pPr>
        <w:pStyle w:val="ListBullet"/>
        <w:widowControl/>
      </w:pPr>
      <w:r>
        <w:t>A fair exchange converts the solution into income, savings, credit, ownership, or public obligation satisfied.</w:t>
      </w:r>
    </w:p>
    <w:p>
      <w:pPr>
        <w:pStyle w:val="ListBullet"/>
        <w:widowControl/>
      </w:pPr>
      <w:r>
        <w:t>Repeated success creates independence and additional capacity in others.</w:t>
      </w:r>
    </w:p>
    <w:p>
      <w:pPr>
        <w:widowControl/>
      </w:pPr>
      <w:r>
        <w:t>The aim is not to promise that everyone must start a corporation. It is to make entrepreneurial agency widely available: the capacity to see a problem, mobilize resources, accept responsibility, create a solution, and retain a fair portion of the value created.</w:t>
      </w:r>
    </w:p>
    <w:p>
      <w:pPr>
        <w:pStyle w:val="BookQuote"/>
        <w:widowControl/>
        <w:shd w:fill="F3EFF8"/>
      </w:pPr>
      <w:r>
        <w:rPr>
          <w:b/>
          <w:i w:val="0"/>
          <w:color w:val="6B3FA0"/>
        </w:rPr>
        <w:t xml:space="preserve">MY ASSESSMENT: </w:t>
      </w:r>
      <w:r>
        <w:t>Gingrich is right that entrepreneurs drive renewal. The Purple Way is favored because it asks the governing question that follows: What institutions will reliably create more entrepreneurs and ensure that productive citizens are not stripped of so much value that they cannot accumulate ownership?</w:t>
      </w:r>
    </w:p>
    <w:p>
      <w:pPr>
        <w:widowControl/>
      </w:pPr>
      <w:r>
        <w:br w:type="page"/>
      </w:r>
    </w:p>
    <w:p>
      <w:pPr>
        <w:widowControl/>
        <w:spacing w:before="480" w:after="80"/>
      </w:pPr>
      <w:r>
        <w:rPr>
          <w:b/>
          <w:color w:val="B8913B"/>
          <w:sz w:val="20"/>
        </w:rPr>
        <w:t>CHAPTER 4</w:t>
      </w:r>
    </w:p>
    <w:p>
      <w:pPr>
        <w:pStyle w:val="Heading1"/>
        <w:keepNext/>
        <w:widowControl/>
        <w:spacing w:before="0"/>
      </w:pPr>
      <w:r>
        <w:t>From Welfare to Capability</w:t>
      </w:r>
    </w:p>
    <w:p>
      <w:pPr>
        <w:pStyle w:val="BookQuote"/>
        <w:widowControl/>
        <w:shd w:fill="F3EFF8"/>
      </w:pPr>
      <w:r>
        <w:rPr>
          <w:b/>
          <w:i w:val="0"/>
          <w:color w:val="6B3FA0"/>
        </w:rPr>
        <w:t xml:space="preserve">CHAPTER JUDGMENT: </w:t>
      </w:r>
      <w:r>
        <w:t>Work is important, but a job alone is not proof that dependency has been overcome.</w:t>
      </w:r>
    </w:p>
    <w:p>
      <w:pPr>
        <w:widowControl/>
      </w:pPr>
      <w:r>
        <w:t>Gingrich’s welfare philosophy culminated politically in the 1996 welfare reform era. Its moral vocabulary was responsibility, work, time limits, state flexibility, and rejection of unconditional dependency. Thirty years later, Gingrich continued to argue that work was the special ingredient of successful welfare reform. The strength of this view is that it recognizes the dignity, discipline, relationships, and experience that often accompany productive activity.</w:t>
      </w:r>
    </w:p>
    <w:p>
      <w:pPr>
        <w:widowControl/>
      </w:pPr>
      <w:r>
        <w:t>The limitation is that “work” can become too thin a measurement. A person may move from a benefit program into unstable, low-wage work while remaining one illness, repair bill, rent increase, or scheduling disruption away from collapse. Employment can reduce an official welfare count without producing savings, portable skill, health, or ownership. The person may be working yet still possess little residual power.</w:t>
      </w:r>
    </w:p>
    <w:p>
      <w:pPr>
        <w:widowControl/>
      </w:pPr>
      <w:r>
        <w:t>The Purple Way would preserve the work principle but place it inside a capability ladder. Immediate protection prevents desperation. Assessment identifies barriers and existing abilities. Training must connect to real demand rather than merely issue paper credentials. Transportation, health, childcare, tools, and digital access may be necessary productive supports. Savings and asset accumulation should be encouraged rather than punished. Advancement should be measured by growing control over one’s life.</w:t>
      </w:r>
    </w:p>
    <w:p>
      <w:pPr>
        <w:widowControl/>
      </w:pPr>
      <w:r>
        <w:t>Permanent protection remains appropriate where age, disability, intensive caregiving, or lifelong need makes full independence unrealistic. Human dignity is not conditioned on market output. The point is to refuse both abandonment and unnecessary captivity.</w:t>
      </w:r>
    </w:p>
    <w:p>
      <w:pPr>
        <w:pStyle w:val="BookQuote"/>
        <w:widowControl/>
        <w:shd w:fill="F3EFF8"/>
      </w:pPr>
      <w:r>
        <w:rPr>
          <w:b/>
          <w:i w:val="0"/>
          <w:color w:val="6B3FA0"/>
        </w:rPr>
        <w:t xml:space="preserve">MY ASSESSMENT: </w:t>
      </w:r>
      <w:r>
        <w:t>Gingrich correctly identified the harm of a system that pays people without expecting or enabling growth. Human Capital Conservatism offers the more complete standard: not welfare-to-work alone, but protection-to-preparation-to-production-to-ownership, adjusted honestly for human ability and circumstance.</w:t>
      </w:r>
    </w:p>
    <w:p>
      <w:pPr>
        <w:widowControl/>
      </w:pPr>
      <w:r>
        <w:br w:type="page"/>
      </w:r>
    </w:p>
    <w:p>
      <w:pPr>
        <w:widowControl/>
        <w:spacing w:before="480" w:after="80"/>
      </w:pPr>
      <w:r>
        <w:rPr>
          <w:b/>
          <w:color w:val="B8913B"/>
          <w:sz w:val="20"/>
        </w:rPr>
        <w:t>CHAPTER 5</w:t>
      </w:r>
    </w:p>
    <w:p>
      <w:pPr>
        <w:pStyle w:val="Heading1"/>
        <w:keepNext/>
        <w:widowControl/>
        <w:spacing w:before="0"/>
      </w:pPr>
      <w:r>
        <w:t>Knowledge as Capital</w:t>
      </w:r>
    </w:p>
    <w:p>
      <w:pPr>
        <w:pStyle w:val="BookQuote"/>
        <w:widowControl/>
        <w:shd w:fill="F3EFF8"/>
      </w:pPr>
      <w:r>
        <w:rPr>
          <w:b/>
          <w:i w:val="0"/>
          <w:color w:val="6B3FA0"/>
        </w:rPr>
        <w:t xml:space="preserve">CHAPTER JUDGMENT: </w:t>
      </w:r>
      <w:r>
        <w:t>Gingrich makes education essential to national competition; the Purple Way makes knowledge part of the nation’s balance sheet.</w:t>
      </w:r>
    </w:p>
    <w:p>
      <w:pPr>
        <w:widowControl/>
      </w:pPr>
      <w:r>
        <w:t>Across Winning the Future, Breakout, and his advocacy of science, space, and technological modernization, Gingrich treats learning as strategic infrastructure. Weak mathematics and science education threaten economic leadership; medical and technological innovation can enlarge both prosperity and quality of life; a government unable to understand the information age cannot govern it intelligently.</w:t>
      </w:r>
    </w:p>
    <w:p>
      <w:pPr>
        <w:widowControl/>
      </w:pPr>
      <w:r>
        <w:t>Human Capital Conservatism agrees but advances a more exact proposition: knowledge is capital because it stores an ability to produce future value. The electrical knowledge in a technician, the diagnostic pattern recognition of a nurse, the commercial judgment of an experienced buyer, the spatial skill of a welder, and the trust accumulated by a local organizer all function as productive assets even though conventional accounting seldom records them.</w:t>
      </w:r>
    </w:p>
    <w:p>
      <w:pPr>
        <w:widowControl/>
      </w:pPr>
      <w:r>
        <w:t>Once knowledge is treated as capital, education policy changes. Completion is less important than usable mastery. A credential matters to the extent that it is portable and trusted. Training providers should be accountable for capability gained, placement where appropriate, advancement, and the durability of learning. Experienced workers should have pathways to teach or certify what they know. Public investment should favor learning that expands both personal choice and national productive resilience.</w:t>
      </w:r>
    </w:p>
    <w:p>
      <w:pPr>
        <w:widowControl/>
      </w:pPr>
      <w:r>
        <w:t>This is not a demand that every lesson have an immediate wage price. Citizenship, history, ethics, communication, and judgment also protect a republic. Human capital includes the ability to distinguish evidence from manipulation and long-term interest from short-term appetite.</w:t>
      </w:r>
    </w:p>
    <w:p>
      <w:pPr>
        <w:pStyle w:val="BookQuote"/>
        <w:widowControl/>
        <w:shd w:fill="F3EFF8"/>
      </w:pPr>
      <w:r>
        <w:rPr>
          <w:b/>
          <w:i w:val="0"/>
          <w:color w:val="6B3FA0"/>
        </w:rPr>
        <w:t xml:space="preserve">MY ASSESSMENT: </w:t>
      </w:r>
      <w:r>
        <w:t>Gingrich sees education as the fuel of an opportunity society. The Purple Way offers a stronger accounting concept: learning is not simply a service consumed by students; durable knowledge is capital carried by citizens and available to the whole republic.</w:t>
      </w:r>
    </w:p>
    <w:p>
      <w:pPr>
        <w:widowControl/>
      </w:pPr>
      <w:r>
        <w:br w:type="page"/>
      </w:r>
    </w:p>
    <w:p>
      <w:pPr>
        <w:widowControl/>
        <w:spacing w:before="480" w:after="80"/>
      </w:pPr>
      <w:r>
        <w:rPr>
          <w:b/>
          <w:color w:val="B8913B"/>
          <w:sz w:val="20"/>
        </w:rPr>
        <w:t>CHAPTER 6</w:t>
      </w:r>
    </w:p>
    <w:p>
      <w:pPr>
        <w:pStyle w:val="Heading1"/>
        <w:keepNext/>
        <w:widowControl/>
        <w:spacing w:before="0"/>
      </w:pPr>
      <w:r>
        <w:t>Government: Smaller, Smarter, or Reconstructed?</w:t>
      </w:r>
    </w:p>
    <w:p>
      <w:pPr>
        <w:pStyle w:val="BookQuote"/>
        <w:widowControl/>
        <w:shd w:fill="F3EFF8"/>
      </w:pPr>
      <w:r>
        <w:rPr>
          <w:b/>
          <w:i w:val="0"/>
          <w:color w:val="6B3FA0"/>
        </w:rPr>
        <w:t xml:space="preserve">CHAPTER JUDGMENT: </w:t>
      </w:r>
      <w:r>
        <w:t>The useful question is not the abstract size of government. It is whether government converts public authority into lasting public capability.</w:t>
      </w:r>
    </w:p>
    <w:p>
      <w:pPr>
        <w:widowControl/>
      </w:pPr>
      <w:r>
        <w:t>The Contract with America promised accountability and a government that would live under rules comparable to those imposed on citizens. Real Change argued for moving from institutions that fail to systems that work. The Art of Transformation distinguished deep redesign from minor reform. Gingrich’s instinct is often correct: an organization built around obsolete assumptions may absorb reform money while preserving the failure that justified its budget.</w:t>
      </w:r>
    </w:p>
    <w:p>
      <w:pPr>
        <w:widowControl/>
      </w:pPr>
      <w:r>
        <w:t>The Purple Way shares the impatience with self-protecting systems but avoids making “smaller” the only measure. A small government can still be corrupt, incompetent, captured, or strategically blind. A large program can occasionally build valuable infrastructure or capability. The decisive questions are whether authority is limited, outcomes are measured, competition remains possible, citizens can inspect the result, and the intervention leaves behind lower recurring costs or greater productive power.</w:t>
      </w:r>
    </w:p>
    <w:p>
      <w:pPr>
        <w:widowControl/>
      </w:pPr>
      <w:r>
        <w:t>Republic in Action illustrates the civic side of this philosophy. Residents documenting a local problem with time, place, photographs, public records, and response status are not passive complainants. They become distributed sensors and accountability partners. Transparency turns lived experience into governable evidence. That resembles Gingrich’s decentralizing impulse but gives it a Purple Way form: citizens produce verified civic knowledge that can reduce waste and improve institutional response.</w:t>
      </w:r>
    </w:p>
    <w:p>
      <w:pPr>
        <w:widowControl/>
      </w:pPr>
      <w:r>
        <w:t>The Statesman Contract follows the same logic. Leadership should be a measurable undertaking, not a collection of emotional promises. Objectives, authority, conflicts, milestones, disclosures, and consequences should be clear enough for citizens to judge performance.</w:t>
      </w:r>
    </w:p>
    <w:p>
      <w:pPr>
        <w:pStyle w:val="BookQuote"/>
        <w:widowControl/>
        <w:shd w:fill="F3EFF8"/>
      </w:pPr>
      <w:r>
        <w:rPr>
          <w:b/>
          <w:i w:val="0"/>
          <w:color w:val="6B3FA0"/>
        </w:rPr>
        <w:t xml:space="preserve">MY ASSESSMENT: </w:t>
      </w:r>
      <w:r>
        <w:t>Gingrich’s “smaller and smarter” government is directionally sound. The Purple Way is favored because it defines smart government by conversion: public authority must become verified public value, human capability, productive assets, resilience, or lower long-term cost.</w:t>
      </w:r>
    </w:p>
    <w:p>
      <w:pPr>
        <w:widowControl/>
      </w:pPr>
      <w:r>
        <w:br w:type="page"/>
      </w:r>
    </w:p>
    <w:p>
      <w:pPr>
        <w:widowControl/>
        <w:spacing w:before="480" w:after="80"/>
      </w:pPr>
      <w:r>
        <w:rPr>
          <w:b/>
          <w:color w:val="B8913B"/>
          <w:sz w:val="20"/>
        </w:rPr>
        <w:t>CHAPTER 7</w:t>
      </w:r>
    </w:p>
    <w:p>
      <w:pPr>
        <w:pStyle w:val="Heading1"/>
        <w:keepNext/>
        <w:widowControl/>
        <w:spacing w:before="0"/>
      </w:pPr>
      <w:r>
        <w:t>The Public Benefit Exchange</w:t>
      </w:r>
    </w:p>
    <w:p>
      <w:pPr>
        <w:pStyle w:val="BookQuote"/>
        <w:widowControl/>
        <w:shd w:fill="F3EFF8"/>
      </w:pPr>
      <w:r>
        <w:rPr>
          <w:b/>
          <w:i w:val="0"/>
          <w:color w:val="6B3FA0"/>
        </w:rPr>
        <w:t xml:space="preserve">CHAPTER JUDGMENT: </w:t>
      </w:r>
      <w:r>
        <w:t>The closest Gingrich parallel is entrepreneurial environmentalism; the Purple Way turns the intuition into a general contract architecture.</w:t>
      </w:r>
    </w:p>
    <w:p>
      <w:pPr>
        <w:widowControl/>
      </w:pPr>
      <w:r>
        <w:t>A Contract with the Earth rejects the belief that enterprise and environmental stewardship must be enemies. It proposes incentives, partnerships, scientific innovation, conservation, and practical commitments. This is a revealing Gingrich work because it shows that his philosophy is not simply government withdrawal. Government may establish goals and incentives while private actors discover better methods.</w:t>
      </w:r>
    </w:p>
    <w:p>
      <w:pPr>
        <w:widowControl/>
      </w:pPr>
      <w:r>
        <w:t>The Public Benefit Exchange generalizes that approach. Government possesses lawful forms of value: tax treatment, permitting priority, procurement access, land or facilities, research support, coordination, and limited regulatory flexibility. Companies and citizens possess productive value: equipment, manufactured goods, expertise, infrastructure, training, energy, lower prices, and verified services. A carefully designed exchange can sometimes deliver more public value than collecting money, routing it through bureaucracy, and later buying the same result at retail or inflated procurement prices.</w:t>
      </w:r>
    </w:p>
    <w:p>
      <w:pPr>
        <w:widowControl/>
      </w:pPr>
      <w:r>
        <w:t>Consider a manufacturer able to provide needed public equipment at verified manufacturing cost. Under a legislatively authorized pilot, some defined portion of a public obligation could be satisfied through the equipment rather than cash, provided the valuation is independent, competitors can participate, quality is proven, no hidden markup exists, and the public receives more net value. The same logic could apply to grid capacity, water protection, workforce training, affordable inputs, or infrastructure.</w:t>
      </w:r>
    </w:p>
    <w:p>
      <w:pPr>
        <w:pStyle w:val="Heading2"/>
        <w:keepNext/>
        <w:widowControl/>
      </w:pPr>
      <w:r>
        <w:t>Safeguards are not optional</w:t>
      </w:r>
    </w:p>
    <w:p>
      <w:pPr>
        <w:pStyle w:val="ListBullet"/>
        <w:widowControl/>
      </w:pPr>
      <w:r>
        <w:t>A public baseline establishes what would occur without the exchange.</w:t>
      </w:r>
    </w:p>
    <w:p>
      <w:pPr>
        <w:pStyle w:val="ListBullet"/>
        <w:widowControl/>
      </w:pPr>
      <w:r>
        <w:t>Milestones and independent audits verify delivery.</w:t>
      </w:r>
    </w:p>
    <w:p>
      <w:pPr>
        <w:pStyle w:val="ListBullet"/>
        <w:widowControl/>
      </w:pPr>
      <w:r>
        <w:t>Pass-through rules prove that household or community benefits were not retained entirely by intermediaries.</w:t>
      </w:r>
    </w:p>
    <w:p>
      <w:pPr>
        <w:pStyle w:val="ListBullet"/>
        <w:widowControl/>
      </w:pPr>
      <w:r>
        <w:t>Competition prevents a favored-company monopoly.</w:t>
      </w:r>
    </w:p>
    <w:p>
      <w:pPr>
        <w:pStyle w:val="ListBullet"/>
        <w:widowControl/>
      </w:pPr>
      <w:r>
        <w:t>Clawbacks recover public value when promises fail.</w:t>
      </w:r>
    </w:p>
    <w:p>
      <w:pPr>
        <w:pStyle w:val="ListBullet"/>
        <w:widowControl/>
      </w:pPr>
      <w:r>
        <w:t>Sunsets force reconsideration rather than creating permanent privilege.</w:t>
      </w:r>
    </w:p>
    <w:p>
      <w:pPr>
        <w:pStyle w:val="ListBullet"/>
        <w:widowControl/>
      </w:pPr>
      <w:r>
        <w:t>Transparent valuation prevents barter from becoming disguised tax avoidance.</w:t>
      </w:r>
    </w:p>
    <w:p>
      <w:pPr>
        <w:widowControl/>
      </w:pPr>
      <w:r>
        <w:t>This is not a claim that current tax law automatically permits every proposed exchange. Taxation, procurement, constitutional uniformity, valuation, labor, and ethics rules would require careful legislation and legal review. It is a governing design, not permission to improvise outside existing law.</w:t>
      </w:r>
    </w:p>
    <w:p>
      <w:pPr>
        <w:pStyle w:val="BookQuote"/>
        <w:widowControl/>
        <w:shd w:fill="F3EFF8"/>
      </w:pPr>
      <w:r>
        <w:rPr>
          <w:b/>
          <w:i w:val="0"/>
          <w:color w:val="6B3FA0"/>
        </w:rPr>
        <w:t xml:space="preserve">MY ASSESSMENT: </w:t>
      </w:r>
      <w:r>
        <w:t>Gingrich supplies the compatible principle: use enterprise and incentives to solve public problems. The Purple Way contributes the more rigorous exchange ledger. It can be superior only if its audits, competition, valuation, pass-through, and clawback rules are real. Without them, it could become the corporate favoritism it was designed to replace.</w:t>
      </w:r>
    </w:p>
    <w:p>
      <w:pPr>
        <w:widowControl/>
      </w:pPr>
      <w:r>
        <w:br w:type="page"/>
      </w:r>
    </w:p>
    <w:p>
      <w:pPr>
        <w:widowControl/>
        <w:spacing w:before="480" w:after="80"/>
      </w:pPr>
      <w:r>
        <w:rPr>
          <w:b/>
          <w:color w:val="B8913B"/>
          <w:sz w:val="20"/>
        </w:rPr>
        <w:t>CHAPTER 8</w:t>
      </w:r>
    </w:p>
    <w:p>
      <w:pPr>
        <w:pStyle w:val="Heading1"/>
        <w:keepNext/>
        <w:widowControl/>
        <w:spacing w:before="0"/>
      </w:pPr>
      <w:r>
        <w:t>Energy, Abundance, and the Cost of Living</w:t>
      </w:r>
    </w:p>
    <w:p>
      <w:pPr>
        <w:pStyle w:val="BookQuote"/>
        <w:widowControl/>
        <w:shd w:fill="F3EFF8"/>
      </w:pPr>
      <w:r>
        <w:rPr>
          <w:b/>
          <w:i w:val="0"/>
          <w:color w:val="6B3FA0"/>
        </w:rPr>
        <w:t xml:space="preserve">CHAPTER JUDGMENT: </w:t>
      </w:r>
      <w:r>
        <w:t>Gingrich emphasizes production. The Purple Way adds a contractual bridge between production and the household bill.</w:t>
      </w:r>
    </w:p>
    <w:p>
      <w:pPr>
        <w:widowControl/>
      </w:pPr>
      <w:r>
        <w:t>Drill Here, Drill Now, Pay Less and $2.50 a Gallon argue that American resources, technology, diversified energy, and expanded supply can reduce prices and strategic dependence. Gingrich’s case is straightforward: artificial scarcity and production barriers make families poorer, while greater supply and innovation can make energy more affordable.</w:t>
      </w:r>
    </w:p>
    <w:p>
      <w:pPr>
        <w:widowControl/>
      </w:pPr>
      <w:r>
        <w:t>Human Capital Conservatism accepts the importance of productive abundance. Energy is embedded in food, refrigeration, fertilizer, transportation, housing materials, health care, computing, water, and nearly every manufactured good. Expensive or unreliable energy taxes productive activity even when the charge is not called a tax.</w:t>
      </w:r>
    </w:p>
    <w:p>
      <w:pPr>
        <w:widowControl/>
      </w:pPr>
      <w:r>
        <w:t>The Purple Way nevertheless asks whether general production incentives actually reach households. A refinery, generator, pipeline, data center, or producer may receive a public advantage without producing an equivalent public benefit. The Public Benefit Exchange would define the bargain: what capacity is built, what reliability is achieved, what domestic pricing or pass-through mechanism applies, what environmental protection is required, and how long the benefit lasts.</w:t>
      </w:r>
    </w:p>
    <w:p>
      <w:pPr>
        <w:widowControl/>
      </w:pPr>
      <w:r>
        <w:t>The same reasoning extends beyond oil. Feed, electricity, refrigeration, packaging, financing, distribution, and transportation all influence the price of milk. A serious cost-reduction strategy maps the entire productive chain and removes pressures that recur at each stage. The objective is not a political price decree; it is to reduce the real cost structure beneath the price.</w:t>
      </w:r>
    </w:p>
    <w:p>
      <w:pPr>
        <w:pStyle w:val="BookQuote"/>
        <w:widowControl/>
        <w:shd w:fill="F3EFF8"/>
      </w:pPr>
      <w:r>
        <w:rPr>
          <w:b/>
          <w:i w:val="0"/>
          <w:color w:val="6B3FA0"/>
        </w:rPr>
        <w:t xml:space="preserve">MY ASSESSMENT: </w:t>
      </w:r>
      <w:r>
        <w:t>Gingrich is stronger than many politicians in recognizing that abundance matters. The Purple Way is favored where it connects public concessions to measured production and household benefit. Its strongest claim is not that contracts can command cheap prices, but that public value should never be granted on faith when delivery can be verified.</w:t>
      </w:r>
    </w:p>
    <w:p>
      <w:pPr>
        <w:widowControl/>
      </w:pPr>
      <w:r>
        <w:br w:type="page"/>
      </w:r>
    </w:p>
    <w:p>
      <w:pPr>
        <w:widowControl/>
        <w:spacing w:before="480" w:after="80"/>
      </w:pPr>
      <w:r>
        <w:rPr>
          <w:b/>
          <w:color w:val="B8913B"/>
          <w:sz w:val="20"/>
        </w:rPr>
        <w:t>CHAPTER 9</w:t>
      </w:r>
    </w:p>
    <w:p>
      <w:pPr>
        <w:pStyle w:val="Heading1"/>
        <w:keepNext/>
        <w:widowControl/>
        <w:spacing w:before="0"/>
      </w:pPr>
      <w:r>
        <w:t>Technology and the Breakout Society</w:t>
      </w:r>
    </w:p>
    <w:p>
      <w:pPr>
        <w:pStyle w:val="BookQuote"/>
        <w:widowControl/>
        <w:shd w:fill="F3EFF8"/>
      </w:pPr>
      <w:r>
        <w:rPr>
          <w:b/>
          <w:i w:val="0"/>
          <w:color w:val="6B3FA0"/>
        </w:rPr>
        <w:t xml:space="preserve">CHAPTER JUDGMENT: </w:t>
      </w:r>
      <w:r>
        <w:t>Innovation should break citizens out of dependency, not merely break investors into new markets.</w:t>
      </w:r>
    </w:p>
    <w:p>
      <w:pPr>
        <w:widowControl/>
      </w:pPr>
      <w:r>
        <w:t>Breakout presents pioneers producing breakthroughs in medicine, transportation, energy, education, and other fields while defenders of old systems resist them. Window of Opportunity anticipated the social consequences of computers and high technology. Winning the Future called for science, research, and government modernization. Gingrich’s technological optimism is one of the clearest areas of alignment with the Purple Way.</w:t>
      </w:r>
    </w:p>
    <w:p>
      <w:pPr>
        <w:widowControl/>
      </w:pPr>
      <w:r>
        <w:t>The Purple Way adds a distributional and infrastructural test. An AI or data-center project may be economically impressive while straining electricity and water, displacing workers, concentrating proprietary knowledge, or delivering few local savings. That does not justify stopping innovation. It justifies negotiating the conditions under which innovation strengthens the country rather than extracting from it.</w:t>
      </w:r>
    </w:p>
    <w:p>
      <w:pPr>
        <w:widowControl/>
      </w:pPr>
      <w:r>
        <w:t>A Purple Way technology agreement could connect expansion to new grid capacity, water protection, verified worker transition, local technical education, small-business access, safety research, and measurable efficiency gains. These are not penalties for success. Properly designed, they are the reciprocal obligations that make private expansion politically durable and publicly productive.</w:t>
      </w:r>
    </w:p>
    <w:p>
      <w:pPr>
        <w:widowControl/>
      </w:pPr>
      <w:r>
        <w:t>Technology should also transform government’s relationship with evidence. Open contracting data, traceable milestones, geolocated civic reports, transparent wait times, and automated anomaly detection can make public performance visible. Yet algorithmic scores must never become unappealable substitutes for human judgment. Human capital includes the right and ability to understand decisions that affect one’s life.</w:t>
      </w:r>
    </w:p>
    <w:p>
      <w:pPr>
        <w:pStyle w:val="BookQuote"/>
        <w:widowControl/>
        <w:shd w:fill="F3EFF8"/>
      </w:pPr>
      <w:r>
        <w:rPr>
          <w:b/>
          <w:i w:val="0"/>
          <w:color w:val="6B3FA0"/>
        </w:rPr>
        <w:t xml:space="preserve">MY ASSESSMENT: </w:t>
      </w:r>
      <w:r>
        <w:t>Gingrich asks government to stop imprisoning pioneers. Human Capital Conservatism agrees and adds: a genuine breakout enlarges the productive freedom of the many. Innovation that creates a private fortress while weakening public capacity is technologically advanced but civically incomplete.</w:t>
      </w:r>
    </w:p>
    <w:p>
      <w:pPr>
        <w:widowControl/>
      </w:pPr>
      <w:r>
        <w:br w:type="page"/>
      </w:r>
    </w:p>
    <w:p>
      <w:pPr>
        <w:widowControl/>
        <w:spacing w:before="480" w:after="80"/>
      </w:pPr>
      <w:r>
        <w:rPr>
          <w:b/>
          <w:color w:val="B8913B"/>
          <w:sz w:val="20"/>
        </w:rPr>
        <w:t>CHAPTER 10</w:t>
      </w:r>
    </w:p>
    <w:p>
      <w:pPr>
        <w:pStyle w:val="Heading1"/>
        <w:keepNext/>
        <w:widowControl/>
        <w:spacing w:before="0"/>
      </w:pPr>
      <w:r>
        <w:t>Money, Debt, and Productive Capital</w:t>
      </w:r>
    </w:p>
    <w:p>
      <w:pPr>
        <w:pStyle w:val="BookQuote"/>
        <w:widowControl/>
        <w:shd w:fill="F3EFF8"/>
      </w:pPr>
      <w:r>
        <w:rPr>
          <w:b/>
          <w:i w:val="0"/>
          <w:color w:val="6B3FA0"/>
        </w:rPr>
        <w:t xml:space="preserve">CHAPTER JUDGMENT: </w:t>
      </w:r>
      <w:r>
        <w:t>This is the largest economic separation between Gingrich and the Purple Way.</w:t>
      </w:r>
    </w:p>
    <w:p>
      <w:pPr>
        <w:widowControl/>
      </w:pPr>
      <w:r>
        <w:t>Gingrich’s economic program is recognizably supply-side: lower and simpler taxes, deregulation, savings and investment, energy production, private accounts, balanced budgets, and faster growth. These measures can encourage production, but his major works generally remain inside the established monetary architecture. Growth is expected to generate jobs, revenue, wealth, and opportunity while fiscal discipline restrains government.</w:t>
      </w:r>
    </w:p>
    <w:p>
      <w:pPr>
        <w:widowControl/>
      </w:pPr>
      <w:r>
        <w:t>The Purple Way develops a different long-term diagnosis. When households, firms, and governments face persistently rising recurring costs without comparable productive gains, they rely more heavily on borrowing, subsidy, rescue, refinancing, and monetary accommodation. Repeated expansion may relieve immediate pressure while weakening the purchasing power and independence of future citizens. The nation becomes rich in nominal claims but poor in usable capacity.</w:t>
      </w:r>
    </w:p>
    <w:p>
      <w:pPr>
        <w:widowControl/>
      </w:pPr>
      <w:r>
        <w:t>Human Capital Conservatism seeks to reverse the sequence through production first: increase human skill and productive assets; lower real recurring costs; improve household and institutional balance sheets; reduce emergency dependence; repay or refinance debt responsibly; and diminish the need for replacement borrowing. Only after productive strength and financial resilience rise could monetary pressure safely decline.</w:t>
      </w:r>
    </w:p>
    <w:p>
      <w:pPr>
        <w:widowControl/>
      </w:pPr>
      <w:r>
        <w:t>This is not an argument for abrupt deflation, forced credit collapse, arbitrary removal of money, or political price controls. Those measures could destroy jobs, debtors, investment, and the productive base. The claim is subtler: if the nation becomes “a bank with feet”—millions of capable people carrying knowledge, tools, judgment, productive relationships, and lower-cost systems—then fewer problems must be solved by issuing more financial claims.</w:t>
      </w:r>
    </w:p>
    <w:p>
      <w:pPr>
        <w:widowControl/>
      </w:pPr>
      <w:r>
        <w:t>Some prices could decline where productivity, input costs, competition, and monetary stability genuinely improve. But no honest framework can guarantee a return to a historical sticker price such as 1950s milk. The sound objective is greater real purchasing power and lower cost relative to income, not a guaranteed nostalgic number.</w:t>
      </w:r>
    </w:p>
    <w:p>
      <w:pPr>
        <w:pStyle w:val="BookQuote"/>
        <w:widowControl/>
        <w:shd w:fill="F3EFF8"/>
      </w:pPr>
      <w:r>
        <w:rPr>
          <w:b/>
          <w:i w:val="0"/>
          <w:color w:val="6B3FA0"/>
        </w:rPr>
        <w:t xml:space="preserve">MY ASSESSMENT: </w:t>
      </w:r>
      <w:r>
        <w:t>The Purple Way is more original here, but also more exposed to error. Its monetary claims should be tested through pilots, modeling, and safeguards—not declared an automatic law. I favor its direction: let productive capacity, lower costs, and stronger balance sheets do work now assigned to debt and money creation.</w:t>
      </w:r>
    </w:p>
    <w:p>
      <w:pPr>
        <w:widowControl/>
      </w:pPr>
      <w:r>
        <w:br w:type="page"/>
      </w:r>
    </w:p>
    <w:p>
      <w:pPr>
        <w:widowControl/>
        <w:spacing w:before="480" w:after="80"/>
      </w:pPr>
      <w:r>
        <w:rPr>
          <w:b/>
          <w:color w:val="B8913B"/>
          <w:sz w:val="20"/>
        </w:rPr>
        <w:t>CHAPTER 11</w:t>
      </w:r>
    </w:p>
    <w:p>
      <w:pPr>
        <w:pStyle w:val="Heading1"/>
        <w:keepNext/>
        <w:widowControl/>
        <w:spacing w:before="0"/>
      </w:pPr>
      <w:r>
        <w:t>Faith, Character, and Benevolent Action</w:t>
      </w:r>
    </w:p>
    <w:p>
      <w:pPr>
        <w:pStyle w:val="BookQuote"/>
        <w:widowControl/>
        <w:shd w:fill="F3EFF8"/>
      </w:pPr>
      <w:r>
        <w:rPr>
          <w:b/>
          <w:i w:val="0"/>
          <w:color w:val="6B3FA0"/>
        </w:rPr>
        <w:t xml:space="preserve">CHAPTER JUDGMENT: </w:t>
      </w:r>
      <w:r>
        <w:t>Both philosophies understand that prosperity without character cannot sustain a republic.</w:t>
      </w:r>
    </w:p>
    <w:p>
      <w:pPr>
        <w:widowControl/>
      </w:pPr>
      <w:r>
        <w:t>Rediscovering God in America, A Nation Like No Other, and Gingrich’s historical works emphasize faith, founding principles, patriotism, sacrifice, family, and the moral inheritance of the United States. Even his policy books often treat economic freedom as part of a larger civilizational order rather than a license for appetite alone.</w:t>
      </w:r>
    </w:p>
    <w:p>
      <w:pPr>
        <w:widowControl/>
      </w:pPr>
      <w:r>
        <w:t>The Purple Way can align with this moral seriousness while speaking to citizens across religious traditions. Its ethical claim is that kindness should not be confused with indefinite maintenance of avoidable weakness. “Christ is the will to mobilize benevolent actions” expresses an active standard: compassion moves, organizes, teaches, protects, and creates a path forward. Grace is not indifference to results.</w:t>
      </w:r>
    </w:p>
    <w:p>
      <w:pPr>
        <w:widowControl/>
      </w:pPr>
      <w:r>
        <w:t>Constructive and conscious capitalism fit here. Profit is legitimate and necessary, yet the finest profit can come from enlarging the productive power of others. The Purple Way’s ambition to let billionaires become wealthier by helping people with less become more capable is not a rejection of capitalism. It is an attempt to align private gain with public transformation through transparent bargains.</w:t>
      </w:r>
    </w:p>
    <w:p>
      <w:pPr>
        <w:widowControl/>
      </w:pPr>
      <w:r>
        <w:t>Character also constrains the state. A measurable contract cannot replace honesty, courage, humility, stewardship, or willingness to admit failure. Metrics can be gamed. Therefore, transparency, competing institutions, independent verification, and moral accountability must work together.</w:t>
      </w:r>
    </w:p>
    <w:p>
      <w:pPr>
        <w:pStyle w:val="BookQuote"/>
        <w:widowControl/>
        <w:shd w:fill="F3EFF8"/>
      </w:pPr>
      <w:r>
        <w:rPr>
          <w:b/>
          <w:i w:val="0"/>
          <w:color w:val="6B3FA0"/>
        </w:rPr>
        <w:t xml:space="preserve">MY ASSESSMENT: </w:t>
      </w:r>
      <w:r>
        <w:t>Gingrich is stronger in articulating the historic religious foundations of American conservatism. The Purple Way adds a useful civic translation: benevolence should leave people with greater dignity and power whenever possible. Its public legitimacy can rest on outcomes accessible to believers and nonbelievers alike.</w:t>
      </w:r>
    </w:p>
    <w:p>
      <w:pPr>
        <w:widowControl/>
      </w:pPr>
      <w:r>
        <w:br w:type="page"/>
      </w:r>
    </w:p>
    <w:p>
      <w:pPr>
        <w:widowControl/>
        <w:spacing w:before="480" w:after="80"/>
      </w:pPr>
      <w:r>
        <w:rPr>
          <w:b/>
          <w:color w:val="B8913B"/>
          <w:sz w:val="20"/>
        </w:rPr>
        <w:t>CHAPTER 12</w:t>
      </w:r>
    </w:p>
    <w:p>
      <w:pPr>
        <w:pStyle w:val="Heading1"/>
        <w:keepNext/>
        <w:widowControl/>
        <w:spacing w:before="0"/>
      </w:pPr>
      <w:r>
        <w:t>National Strength and Foreign Policy</w:t>
      </w:r>
    </w:p>
    <w:p>
      <w:pPr>
        <w:pStyle w:val="BookQuote"/>
        <w:widowControl/>
        <w:shd w:fill="F3EFF8"/>
      </w:pPr>
      <w:r>
        <w:rPr>
          <w:b/>
          <w:i w:val="0"/>
          <w:color w:val="6B3FA0"/>
        </w:rPr>
        <w:t xml:space="preserve">CHAPTER JUDGMENT: </w:t>
      </w:r>
      <w:r>
        <w:t>A nation of capable citizens is strategically stronger, but the Purple Way still needs a fuller doctrine for the dangerous world Gingrich describes.</w:t>
      </w:r>
    </w:p>
    <w:p>
      <w:pPr>
        <w:widowControl/>
      </w:pPr>
      <w:r>
        <w:t>Winning the Future, Trump vs. China, Trump and the American Future, Beyond Biden, and later works devote extensive attention to terrorism, hostile powers, trade, military readiness, intelligence, borders, and peace through strength. Gingrich views domestic decline and foreign vulnerability as connected. A country weak in science, manufacturing, civic confidence, and historical identity cannot indefinitely project strength abroad.</w:t>
      </w:r>
    </w:p>
    <w:p>
      <w:pPr>
        <w:widowControl/>
      </w:pPr>
      <w:r>
        <w:t>Human Capital Conservatism supports that connection. Skilled workers, resilient energy, domestic manufacturing, secure digital systems, healthy citizens, research capacity, and distributed ownership are national-security assets. Dependency on a strategic competitor for medicine, components, critical minerals, food inputs, or industrial tooling is more than an economic inconvenience.</w:t>
      </w:r>
    </w:p>
    <w:p>
      <w:pPr>
        <w:widowControl/>
      </w:pPr>
      <w:r>
        <w:t>A Purple Way trade or investment agreement should therefore be evaluated by whether it builds domestic capability, diversifies strategic supply, protects legitimate intellectual property, expands skills, and produces reciprocal value. Foreign policy should distinguish mutually beneficial exchange from arrangements that trade away productive sovereignty for temporarily cheap consumption.</w:t>
      </w:r>
    </w:p>
    <w:p>
      <w:pPr>
        <w:widowControl/>
      </w:pPr>
      <w:r>
        <w:t>Still, the Purple Way presently has less developed positions on force, alliances, nuclear deterrence, intelligence, migration, war powers, and the rules governing emergency authority. Human-capital reasoning can guide those questions, but it cannot substitute for answering them.</w:t>
      </w:r>
    </w:p>
    <w:p>
      <w:pPr>
        <w:pStyle w:val="BookQuote"/>
        <w:widowControl/>
        <w:shd w:fill="F3EFF8"/>
      </w:pPr>
      <w:r>
        <w:rPr>
          <w:b/>
          <w:i w:val="0"/>
          <w:color w:val="6B3FA0"/>
        </w:rPr>
        <w:t xml:space="preserve">MY ASSESSMENT: </w:t>
      </w:r>
      <w:r>
        <w:t>Gingrich is favored in breadth and specificity on foreign policy. The Purple Way may contribute a valuable definition of national strength—productive citizens and resilient systems—but it must develop that insight into a constitutional security doctrine before claiming comprehensive superiority.</w:t>
      </w:r>
    </w:p>
    <w:p>
      <w:pPr>
        <w:widowControl/>
      </w:pPr>
      <w:r>
        <w:br w:type="page"/>
      </w:r>
    </w:p>
    <w:p>
      <w:pPr>
        <w:widowControl/>
        <w:spacing w:before="480" w:after="80"/>
      </w:pPr>
      <w:r>
        <w:rPr>
          <w:b/>
          <w:color w:val="B8913B"/>
          <w:sz w:val="20"/>
        </w:rPr>
        <w:t>CHAPTER 13</w:t>
      </w:r>
    </w:p>
    <w:p>
      <w:pPr>
        <w:pStyle w:val="Heading1"/>
        <w:keepNext/>
        <w:widowControl/>
        <w:spacing w:before="0"/>
      </w:pPr>
      <w:r>
        <w:t>Political Method: Majority vs. Purple Alignment</w:t>
      </w:r>
    </w:p>
    <w:p>
      <w:pPr>
        <w:pStyle w:val="BookQuote"/>
        <w:widowControl/>
        <w:shd w:fill="F3EFF8"/>
      </w:pPr>
      <w:r>
        <w:rPr>
          <w:b/>
          <w:i w:val="0"/>
          <w:color w:val="6B3FA0"/>
        </w:rPr>
        <w:t xml:space="preserve">CHAPTER JUDGMENT: </w:t>
      </w:r>
      <w:r>
        <w:t>Gingrich built a Republican majority by defining an opponent. The Purple Way seeks a new majority by redefining capital and the purpose of government.</w:t>
      </w:r>
    </w:p>
    <w:p>
      <w:pPr>
        <w:widowControl/>
      </w:pPr>
      <w:r>
        <w:t>March to the Majority recounts the long campaign that culminated in the Republican victory of 1994. Gingrich recruited allies, developed language, used procedural conflict, nationalized congressional elections, and offered a signed contract. His career demonstrates that an idea without organization, repetition, candidates, measurable promises, and a route to power remains an essay.</w:t>
      </w:r>
    </w:p>
    <w:p>
      <w:pPr>
        <w:widowControl/>
      </w:pPr>
      <w:r>
        <w:t>That lesson is valuable to the Purple Way. A movement needs clear definitions, pilot projects, trusted evidence, local examples, candidate standards, legal drafts, and a simple public explanation. “Knowledge is capital,” “protection joined to preparation,” “public benefits exchanged for verified public value,” and “residual power” can become organizing principles if ordinary readers can recognize them in daily life.</w:t>
      </w:r>
    </w:p>
    <w:p>
      <w:pPr>
        <w:widowControl/>
      </w:pPr>
      <w:r>
        <w:t>But Gingrich’s combative method also warns the Purple Way. His strategy helped make politics more nationalized and adversarial. A philosophy claiming to transcend red and blue cannot merely identify a new enemy and reproduce the same emotional machinery in purple. It must oppose failing systems firmly while leaving honorable citizens on both sides a path into the coalition.</w:t>
      </w:r>
    </w:p>
    <w:p>
      <w:pPr>
        <w:widowControl/>
      </w:pPr>
      <w:r>
        <w:t>The synthesis is clear. The Right understands enterprise, ownership, responsibility, production, and limits. The Left recognizes vulnerability, unequal starting conditions, public investment, and the need for protection. Both become incomplete when one withdraws without preparing and the other supports without transforming. Purple is not compromise halfway between them. It is a different test applied to both.</w:t>
      </w:r>
    </w:p>
    <w:p>
      <w:pPr>
        <w:pStyle w:val="BookQuote"/>
        <w:widowControl/>
        <w:shd w:fill="F3EFF8"/>
      </w:pPr>
      <w:r>
        <w:rPr>
          <w:b/>
          <w:i w:val="0"/>
          <w:color w:val="6B3FA0"/>
        </w:rPr>
        <w:t xml:space="preserve">MY ASSESSMENT: </w:t>
      </w:r>
      <w:r>
        <w:t>The Purple Way should borrow Gingrich’s discipline of written commitments and long-range organization, but not depend on permanent partisan warfare. Its political advantage must be proof: citizens should be able to see capability rise, costs fall, ownership spread, and public exchanges deliver what was promised.</w:t>
      </w:r>
    </w:p>
    <w:p>
      <w:pPr>
        <w:widowControl/>
      </w:pPr>
      <w:r>
        <w:br w:type="page"/>
      </w:r>
    </w:p>
    <w:p>
      <w:pPr>
        <w:widowControl/>
        <w:spacing w:before="480" w:after="80"/>
      </w:pPr>
      <w:r>
        <w:rPr>
          <w:b/>
          <w:color w:val="B8913B"/>
          <w:sz w:val="20"/>
        </w:rPr>
        <w:t>CHAPTER 14</w:t>
      </w:r>
    </w:p>
    <w:p>
      <w:pPr>
        <w:pStyle w:val="Heading1"/>
        <w:keepNext/>
        <w:widowControl/>
        <w:spacing w:before="0"/>
      </w:pPr>
      <w:r>
        <w:t>Where Gingrich Is Stronger—and Where the Purple Way Advances the Argument</w:t>
      </w:r>
    </w:p>
    <w:p>
      <w:pPr>
        <w:pStyle w:val="BookQuote"/>
        <w:widowControl/>
        <w:shd w:fill="F3EFF8"/>
      </w:pPr>
      <w:r>
        <w:rPr>
          <w:b/>
          <w:i w:val="0"/>
          <w:color w:val="6B3FA0"/>
        </w:rPr>
        <w:t xml:space="preserve">CHAPTER JUDGMENT: </w:t>
      </w:r>
      <w:r>
        <w:t>Credibility requires acknowledging incompleteness. A philosophy becomes stronger when it identifies what must still be built.</w:t>
      </w:r>
    </w:p>
    <w:p>
      <w:pPr>
        <w:pStyle w:val="Heading2"/>
        <w:keepNext/>
        <w:widowControl/>
      </w:pPr>
      <w:r>
        <w:t>Where Gingrich is presently stronger</w:t>
      </w:r>
    </w:p>
    <w:p>
      <w:pPr>
        <w:pStyle w:val="ListBullet"/>
        <w:widowControl/>
      </w:pPr>
      <w:r>
        <w:t>A longer and more developed national-security worldview.</w:t>
      </w:r>
    </w:p>
    <w:p>
      <w:pPr>
        <w:pStyle w:val="ListBullet"/>
        <w:widowControl/>
      </w:pPr>
      <w:r>
        <w:t>Demonstrated ability to convert ideas into legislative commitments and political organization.</w:t>
      </w:r>
    </w:p>
    <w:p>
      <w:pPr>
        <w:pStyle w:val="ListBullet"/>
        <w:widowControl/>
      </w:pPr>
      <w:r>
        <w:t>A larger body of historical argument about American identity, faith, and founding principles.</w:t>
      </w:r>
    </w:p>
    <w:p>
      <w:pPr>
        <w:pStyle w:val="ListBullet"/>
        <w:widowControl/>
      </w:pPr>
      <w:r>
        <w:t>More conventional and immediately recognizable tax, regulatory, energy, and savings proposals.</w:t>
      </w:r>
    </w:p>
    <w:p>
      <w:pPr>
        <w:pStyle w:val="ListBullet"/>
        <w:widowControl/>
      </w:pPr>
      <w:r>
        <w:t>Decades of public engagement with science, space, health, technology, and institutional modernization.</w:t>
      </w:r>
    </w:p>
    <w:p>
      <w:pPr>
        <w:pStyle w:val="Heading2"/>
        <w:keepNext/>
        <w:widowControl/>
      </w:pPr>
      <w:r>
        <w:t>Where the Purple Way advances the argument</w:t>
      </w:r>
    </w:p>
    <w:p>
      <w:pPr>
        <w:pStyle w:val="ListBullet"/>
        <w:widowControl/>
      </w:pPr>
      <w:r>
        <w:t>It defines human capability itself as capital and makes that definition operational.</w:t>
      </w:r>
    </w:p>
    <w:p>
      <w:pPr>
        <w:pStyle w:val="ListBullet"/>
        <w:widowControl/>
      </w:pPr>
      <w:r>
        <w:t>It judges policy by residual power rather than spending, caseload, employment, or GDP alone.</w:t>
      </w:r>
    </w:p>
    <w:p>
      <w:pPr>
        <w:pStyle w:val="ListBullet"/>
        <w:widowControl/>
      </w:pPr>
      <w:r>
        <w:t>It joins temporary protection to preparation, production, savings, and ownership.</w:t>
      </w:r>
    </w:p>
    <w:p>
      <w:pPr>
        <w:pStyle w:val="ListBullet"/>
        <w:widowControl/>
      </w:pPr>
      <w:r>
        <w:t>It generalizes public-private incentives into an auditable Public Benefit Exchange.</w:t>
      </w:r>
    </w:p>
    <w:p>
      <w:pPr>
        <w:pStyle w:val="ListBullet"/>
        <w:widowControl/>
      </w:pPr>
      <w:r>
        <w:t>It requires public-benefit pass-throughs rather than assuming private growth reaches households.</w:t>
      </w:r>
    </w:p>
    <w:p>
      <w:pPr>
        <w:pStyle w:val="ListBullet"/>
        <w:widowControl/>
      </w:pPr>
      <w:r>
        <w:t>It connects productive-capital growth to lower debt dependence and reduced monetary pressure.</w:t>
      </w:r>
    </w:p>
    <w:p>
      <w:pPr>
        <w:pStyle w:val="ListBullet"/>
        <w:widowControl/>
      </w:pPr>
      <w:r>
        <w:t>It offers a post-red/blue standard capable of criticizing dependency administration and corporate extraction at the same time.</w:t>
      </w:r>
    </w:p>
    <w:p>
      <w:pPr>
        <w:widowControl/>
      </w:pPr>
      <w:r>
        <w:t>The Purple Way is favored because its measurement is more complete. Gingrich asks whether the entrepreneur is free, government is effective, and America is strong. Human Capital Conservatism also asks what power remains in the person, family, community, and productive system afterward.</w:t>
      </w:r>
    </w:p>
    <w:p>
      <w:pPr>
        <w:widowControl/>
      </w:pPr>
      <w:r>
        <w:t>Favoring the Purple Way does not mean every mechanism is proven. Tax exchanges require legislation; monetary theory requires modeling and staged evidence; cost-reduction contracts require anti-capture safeguards; human-capital metrics must respect dignity; and foreign policy needs development. The framework offers a more integrated destination, not a fully engineered road.</w:t>
      </w:r>
    </w:p>
    <w:p>
      <w:pPr>
        <w:pStyle w:val="BookQuote"/>
        <w:widowControl/>
        <w:shd w:fill="F3EFF8"/>
      </w:pPr>
      <w:r>
        <w:rPr>
          <w:b/>
          <w:i w:val="0"/>
          <w:color w:val="6B3FA0"/>
        </w:rPr>
        <w:t xml:space="preserve">MY ASSESSMENT: </w:t>
      </w:r>
      <w:r>
        <w:t>Gingrich’s ideas are a valuable bridge into Human Capital Conservatism. The Purple Way takes the next step by making human power, productive ownership, and independence the explicit purpose and ledger of governance.</w:t>
      </w:r>
    </w:p>
    <w:p>
      <w:pPr>
        <w:widowControl/>
      </w:pPr>
      <w:r>
        <w:br w:type="page"/>
      </w:r>
    </w:p>
    <w:p>
      <w:pPr>
        <w:pStyle w:val="Heading1"/>
        <w:keepNext/>
        <w:widowControl/>
      </w:pPr>
      <w:r>
        <w:t>Conclusion</w:t>
      </w:r>
    </w:p>
    <w:p>
      <w:pPr>
        <w:pStyle w:val="Heading2"/>
        <w:keepNext/>
        <w:widowControl/>
      </w:pPr>
      <w:r>
        <w:t>Beyond Opportunity to Residual Power</w:t>
      </w:r>
    </w:p>
    <w:p>
      <w:pPr>
        <w:widowControl/>
      </w:pPr>
      <w:r>
        <w:t>Newt Gingrich’s public philosophy is animated by confidence: confidence that Americans can invent, learn, organize, build, compete, worship, govern, and renew their civilization. His best ideas resist the fatalism that says bureaucracy must remain slow, dependency must remain permanent, energy must remain scarce, and technological pioneers must wait for yesterday’s institutions to grant permission.</w:t>
      </w:r>
    </w:p>
    <w:p>
      <w:pPr>
        <w:widowControl/>
      </w:pPr>
      <w:r>
        <w:t>Human Capital Conservatism shares that confidence. It does not want government to become the permanent mind, wallet, parent, or employer of the citizen. Nor does it want corporations to treat workers and communities merely as costs while privatizing every gain produced with public support. It seeks reciprocal strength.</w:t>
      </w:r>
    </w:p>
    <w:p>
      <w:pPr>
        <w:widowControl/>
      </w:pPr>
      <w:r>
        <w:t>The Purple Way’s distinctive contribution is to make the citizen’s accumulated productive power the central account. Knowledge is capital. Health is capital. Judgment is capital. Trust, skill, tools, savings, ownership, and the ability to solve problems are capital. A government worthy of the name should conserve and enlarge those assets while protecting people whose circumstances require durable care.</w:t>
      </w:r>
    </w:p>
    <w:p>
      <w:pPr>
        <w:widowControl/>
      </w:pPr>
      <w:r>
        <w:t>Entrepreneurial activity is woven through this entire philosophy because entrepreneurship is the moment when human capital becomes action. A person recognizes a need, applies knowledge and judgment, organizes tools and relationships, accepts responsibility, produces a solution, and exchanges value. The purpose of policy is not to command that act from Washington. It is to remove unjust barriers, prepare more people to perform it, prevent rigged exchanges from draining it, and ensure that public assistance leaves more of it behind.</w:t>
      </w:r>
    </w:p>
    <w:p>
      <w:pPr>
        <w:pStyle w:val="BookQuote"/>
        <w:widowControl/>
        <w:shd w:fill="F3EFF8"/>
      </w:pPr>
      <w:r>
        <w:rPr>
          <w:b/>
          <w:i w:val="0"/>
          <w:color w:val="6B3FA0"/>
        </w:rPr>
        <w:t xml:space="preserve">FINAL OPINION: </w:t>
      </w:r>
      <w:r>
        <w:t>Gingrich opened an important door with the opportunity society. The Purple Way is the stronger destination because it does not stop at the open door. It equips the person, measures the journey, spreads ownership, disciplines the public bargain, and asks the final conservative question: What valuable human power have we preserved and passed forward?</w:t>
      </w:r>
    </w:p>
    <w:p>
      <w:pPr>
        <w:widowControl/>
      </w:pPr>
      <w:r>
        <w:br w:type="page"/>
      </w:r>
    </w:p>
    <w:p>
      <w:pPr>
        <w:pStyle w:val="Heading1"/>
        <w:keepNext/>
        <w:widowControl/>
      </w:pPr>
      <w:r>
        <w:t>Appendix A</w:t>
      </w:r>
    </w:p>
    <w:p>
      <w:pPr>
        <w:pStyle w:val="Heading2"/>
        <w:keepNext/>
        <w:widowControl/>
      </w:pPr>
      <w:r>
        <w:t>Work-by-Work Map of Gingrich’s Ideas</w:t>
      </w:r>
    </w:p>
    <w:tbl>
      <w:tblPr>
        <w:tblW w:type="dxa" w:w="9360"/>
        <w:jc w:val="left"/>
        <w:tblLayout w:type="fixed"/>
        <w:tblLook w:firstColumn="1" w:firstRow="1" w:lastColumn="0" w:lastRow="0" w:noHBand="0" w:noVBand="1" w:val="04A0"/>
        <w:tblInd w:w="120" w:type="dxa"/>
      </w:tblPr>
      <w:tblGrid>
        <w:gridCol w:w="2100"/>
        <w:gridCol w:w="3000"/>
        <w:gridCol w:w="4260"/>
      </w:tblGrid>
      <w:tr>
        <w:trPr>
          <w:tblHeader w:val="true"/>
        </w:trPr>
        <w:tc>
          <w:tcPr>
            <w:tcW w:type="dxa" w:w="2100"/>
            <w:shd w:fill="6B3FA0"/>
            <w:vAlign w:val="center"/>
          </w:tcPr>
          <w:p>
            <w:pPr>
              <w:spacing w:after="0"/>
            </w:pPr>
            <w:r>
              <w:rPr>
                <w:b/>
                <w:color w:val="FFFFFF"/>
                <w:sz w:val="18"/>
              </w:rPr>
              <w:t>Work or group</w:t>
            </w:r>
          </w:p>
        </w:tc>
        <w:tc>
          <w:tcPr>
            <w:tcW w:type="dxa" w:w="3000"/>
            <w:shd w:fill="6B3FA0"/>
            <w:vAlign w:val="center"/>
          </w:tcPr>
          <w:p>
            <w:pPr>
              <w:spacing w:after="0"/>
            </w:pPr>
            <w:r>
              <w:rPr>
                <w:b/>
                <w:color w:val="FFFFFF"/>
                <w:sz w:val="18"/>
              </w:rPr>
              <w:t>Gingrich emphasis</w:t>
            </w:r>
          </w:p>
        </w:tc>
        <w:tc>
          <w:tcPr>
            <w:tcW w:type="dxa" w:w="4260"/>
            <w:shd w:fill="6B3FA0"/>
            <w:vAlign w:val="center"/>
          </w:tcPr>
          <w:p>
            <w:pPr>
              <w:spacing w:after="0"/>
            </w:pPr>
            <w:r>
              <w:rPr>
                <w:b/>
                <w:color w:val="FFFFFF"/>
                <w:sz w:val="18"/>
              </w:rPr>
              <w:t>Purple Way comparison</w:t>
            </w:r>
          </w:p>
        </w:tc>
      </w:tr>
      <w:tr>
        <w:tc>
          <w:tcPr>
            <w:tcW w:type="dxa" w:w="2100"/>
            <w:vAlign w:val="top"/>
          </w:tcPr>
          <w:p>
            <w:pPr>
              <w:spacing w:after="0" w:line="252" w:lineRule="auto"/>
            </w:pPr>
            <w:r>
              <w:rPr>
                <w:rFonts w:ascii="Calibri" w:hAnsi="Calibri"/>
                <w:b/>
                <w:color w:val="21143A"/>
                <w:sz w:val="16"/>
              </w:rPr>
              <w:t>Window of Opportunity</w:t>
            </w:r>
          </w:p>
        </w:tc>
        <w:tc>
          <w:tcPr>
            <w:tcW w:type="dxa" w:w="3000"/>
            <w:vAlign w:val="top"/>
          </w:tcPr>
          <w:p>
            <w:pPr>
              <w:spacing w:after="0" w:line="252" w:lineRule="auto"/>
            </w:pPr>
            <w:r>
              <w:rPr>
                <w:rFonts w:ascii="Calibri" w:hAnsi="Calibri"/>
                <w:sz w:val="16"/>
              </w:rPr>
              <w:t>Opportunity society; computers, space, technology, institutional foresight</w:t>
            </w:r>
          </w:p>
        </w:tc>
        <w:tc>
          <w:tcPr>
            <w:tcW w:type="dxa" w:w="4260"/>
            <w:vAlign w:val="top"/>
          </w:tcPr>
          <w:p>
            <w:pPr>
              <w:spacing w:after="0" w:line="252" w:lineRule="auto"/>
            </w:pPr>
            <w:r>
              <w:rPr>
                <w:rFonts w:ascii="Calibri" w:hAnsi="Calibri"/>
                <w:sz w:val="16"/>
              </w:rPr>
              <w:t>Strong foundation for knowledge, innovation, and decentralization; Purple Way adds capability and ownership metrics.</w:t>
            </w:r>
          </w:p>
        </w:tc>
      </w:tr>
      <w:tr>
        <w:tc>
          <w:tcPr>
            <w:tcW w:type="dxa" w:w="2100"/>
            <w:vAlign w:val="top"/>
            <w:shd w:fill="FAF8FC"/>
          </w:tcPr>
          <w:p>
            <w:pPr>
              <w:spacing w:after="0" w:line="252" w:lineRule="auto"/>
            </w:pPr>
            <w:r>
              <w:rPr>
                <w:rFonts w:ascii="Calibri" w:hAnsi="Calibri"/>
                <w:b/>
                <w:color w:val="21143A"/>
                <w:sz w:val="16"/>
              </w:rPr>
              <w:t>Contract with America</w:t>
            </w:r>
          </w:p>
        </w:tc>
        <w:tc>
          <w:tcPr>
            <w:tcW w:type="dxa" w:w="3000"/>
            <w:vAlign w:val="top"/>
            <w:shd w:fill="FAF8FC"/>
          </w:tcPr>
          <w:p>
            <w:pPr>
              <w:spacing w:after="0" w:line="252" w:lineRule="auto"/>
            </w:pPr>
            <w:r>
              <w:rPr>
                <w:rFonts w:ascii="Calibri" w:hAnsi="Calibri"/>
                <w:sz w:val="16"/>
              </w:rPr>
              <w:t>Written commitments; accountability; welfare, family, savings, taxes, regulation, budgets</w:t>
            </w:r>
          </w:p>
        </w:tc>
        <w:tc>
          <w:tcPr>
            <w:tcW w:type="dxa" w:w="4260"/>
            <w:vAlign w:val="top"/>
            <w:shd w:fill="FAF8FC"/>
          </w:tcPr>
          <w:p>
            <w:pPr>
              <w:spacing w:after="0" w:line="252" w:lineRule="auto"/>
            </w:pPr>
            <w:r>
              <w:rPr>
                <w:rFonts w:ascii="Calibri" w:hAnsi="Calibri"/>
                <w:sz w:val="16"/>
              </w:rPr>
              <w:t>Useful model for a Statesman Contract; narrower and more partisan than the Purple Way.</w:t>
            </w:r>
          </w:p>
        </w:tc>
      </w:tr>
      <w:tr>
        <w:tc>
          <w:tcPr>
            <w:tcW w:type="dxa" w:w="2100"/>
            <w:vAlign w:val="top"/>
          </w:tcPr>
          <w:p>
            <w:pPr>
              <w:spacing w:after="0" w:line="252" w:lineRule="auto"/>
            </w:pPr>
            <w:r>
              <w:rPr>
                <w:rFonts w:ascii="Calibri" w:hAnsi="Calibri"/>
                <w:b/>
                <w:color w:val="21143A"/>
                <w:sz w:val="16"/>
              </w:rPr>
              <w:t>To Renew America</w:t>
            </w:r>
          </w:p>
        </w:tc>
        <w:tc>
          <w:tcPr>
            <w:tcW w:type="dxa" w:w="3000"/>
            <w:vAlign w:val="top"/>
          </w:tcPr>
          <w:p>
            <w:pPr>
              <w:spacing w:after="0" w:line="252" w:lineRule="auto"/>
            </w:pPr>
            <w:r>
              <w:rPr>
                <w:rFonts w:ascii="Calibri" w:hAnsi="Calibri"/>
                <w:sz w:val="16"/>
              </w:rPr>
              <w:t>Founding principles, family, safety, values, national renewal</w:t>
            </w:r>
          </w:p>
        </w:tc>
        <w:tc>
          <w:tcPr>
            <w:tcW w:type="dxa" w:w="4260"/>
            <w:vAlign w:val="top"/>
          </w:tcPr>
          <w:p>
            <w:pPr>
              <w:spacing w:after="0" w:line="252" w:lineRule="auto"/>
            </w:pPr>
            <w:r>
              <w:rPr>
                <w:rFonts w:ascii="Calibri" w:hAnsi="Calibri"/>
                <w:sz w:val="16"/>
              </w:rPr>
              <w:t>Aligns with character and civic inheritance; Purple Way translates values into residual human power.</w:t>
            </w:r>
          </w:p>
        </w:tc>
      </w:tr>
      <w:tr>
        <w:tc>
          <w:tcPr>
            <w:tcW w:type="dxa" w:w="2100"/>
            <w:vAlign w:val="top"/>
            <w:shd w:fill="FAF8FC"/>
          </w:tcPr>
          <w:p>
            <w:pPr>
              <w:spacing w:after="0" w:line="252" w:lineRule="auto"/>
            </w:pPr>
            <w:r>
              <w:rPr>
                <w:rFonts w:ascii="Calibri" w:hAnsi="Calibri"/>
                <w:b/>
                <w:color w:val="21143A"/>
                <w:sz w:val="16"/>
              </w:rPr>
              <w:t>Winning the Future</w:t>
            </w:r>
          </w:p>
        </w:tc>
        <w:tc>
          <w:tcPr>
            <w:tcW w:type="dxa" w:w="3000"/>
            <w:vAlign w:val="top"/>
            <w:shd w:fill="FAF8FC"/>
          </w:tcPr>
          <w:p>
            <w:pPr>
              <w:spacing w:after="0" w:line="252" w:lineRule="auto"/>
            </w:pPr>
            <w:r>
              <w:rPr>
                <w:rFonts w:ascii="Calibri" w:hAnsi="Calibri"/>
                <w:sz w:val="16"/>
              </w:rPr>
              <w:t>Science, education, health, Social Security, government modernization, security</w:t>
            </w:r>
          </w:p>
        </w:tc>
        <w:tc>
          <w:tcPr>
            <w:tcW w:type="dxa" w:w="4260"/>
            <w:vAlign w:val="top"/>
            <w:shd w:fill="FAF8FC"/>
          </w:tcPr>
          <w:p>
            <w:pPr>
              <w:spacing w:after="0" w:line="252" w:lineRule="auto"/>
            </w:pPr>
            <w:r>
              <w:rPr>
                <w:rFonts w:ascii="Calibri" w:hAnsi="Calibri"/>
                <w:sz w:val="16"/>
              </w:rPr>
              <w:t>Broad alignment on future orientation; Purple Way adds productive-capital and public-benefit conditions.</w:t>
            </w:r>
          </w:p>
        </w:tc>
      </w:tr>
      <w:tr>
        <w:tc>
          <w:tcPr>
            <w:tcW w:type="dxa" w:w="2100"/>
            <w:vAlign w:val="top"/>
          </w:tcPr>
          <w:p>
            <w:pPr>
              <w:spacing w:after="0" w:line="252" w:lineRule="auto"/>
            </w:pPr>
            <w:r>
              <w:rPr>
                <w:rFonts w:ascii="Calibri" w:hAnsi="Calibri"/>
                <w:b/>
                <w:color w:val="21143A"/>
                <w:sz w:val="16"/>
              </w:rPr>
              <w:t>The Art of Transformation</w:t>
            </w:r>
          </w:p>
        </w:tc>
        <w:tc>
          <w:tcPr>
            <w:tcW w:type="dxa" w:w="3000"/>
            <w:vAlign w:val="top"/>
          </w:tcPr>
          <w:p>
            <w:pPr>
              <w:spacing w:after="0" w:line="252" w:lineRule="auto"/>
            </w:pPr>
            <w:r>
              <w:rPr>
                <w:rFonts w:ascii="Calibri" w:hAnsi="Calibri"/>
                <w:sz w:val="16"/>
              </w:rPr>
              <w:t>Institutional transformation rather than minor reform</w:t>
            </w:r>
          </w:p>
        </w:tc>
        <w:tc>
          <w:tcPr>
            <w:tcW w:type="dxa" w:w="4260"/>
            <w:vAlign w:val="top"/>
          </w:tcPr>
          <w:p>
            <w:pPr>
              <w:spacing w:after="0" w:line="252" w:lineRule="auto"/>
            </w:pPr>
            <w:r>
              <w:rPr>
                <w:rFonts w:ascii="Calibri" w:hAnsi="Calibri"/>
                <w:sz w:val="16"/>
              </w:rPr>
              <w:t>Strong overlap with replacing obsolete red-blue structures.</w:t>
            </w:r>
          </w:p>
        </w:tc>
      </w:tr>
      <w:tr>
        <w:tc>
          <w:tcPr>
            <w:tcW w:type="dxa" w:w="2100"/>
            <w:vAlign w:val="top"/>
            <w:shd w:fill="FAF8FC"/>
          </w:tcPr>
          <w:p>
            <w:pPr>
              <w:spacing w:after="0" w:line="252" w:lineRule="auto"/>
            </w:pPr>
            <w:r>
              <w:rPr>
                <w:rFonts w:ascii="Calibri" w:hAnsi="Calibri"/>
                <w:b/>
                <w:color w:val="21143A"/>
                <w:sz w:val="16"/>
              </w:rPr>
              <w:t>Rediscovering God in America / A Nation Like No Other</w:t>
            </w:r>
          </w:p>
        </w:tc>
        <w:tc>
          <w:tcPr>
            <w:tcW w:type="dxa" w:w="3000"/>
            <w:vAlign w:val="top"/>
            <w:shd w:fill="FAF8FC"/>
          </w:tcPr>
          <w:p>
            <w:pPr>
              <w:spacing w:after="0" w:line="252" w:lineRule="auto"/>
            </w:pPr>
            <w:r>
              <w:rPr>
                <w:rFonts w:ascii="Calibri" w:hAnsi="Calibri"/>
                <w:sz w:val="16"/>
              </w:rPr>
              <w:t>Faith, founding, patriotism, exceptionalism</w:t>
            </w:r>
          </w:p>
        </w:tc>
        <w:tc>
          <w:tcPr>
            <w:tcW w:type="dxa" w:w="4260"/>
            <w:vAlign w:val="top"/>
            <w:shd w:fill="FAF8FC"/>
          </w:tcPr>
          <w:p>
            <w:pPr>
              <w:spacing w:after="0" w:line="252" w:lineRule="auto"/>
            </w:pPr>
            <w:r>
              <w:rPr>
                <w:rFonts w:ascii="Calibri" w:hAnsi="Calibri"/>
                <w:sz w:val="16"/>
              </w:rPr>
              <w:t>Moral overlap; Purple Way can use a plural civic standard of dignity, capability, and stewardship.</w:t>
            </w:r>
          </w:p>
        </w:tc>
      </w:tr>
      <w:tr>
        <w:tc>
          <w:tcPr>
            <w:tcW w:type="dxa" w:w="2100"/>
            <w:vAlign w:val="top"/>
          </w:tcPr>
          <w:p>
            <w:pPr>
              <w:spacing w:after="0" w:line="252" w:lineRule="auto"/>
            </w:pPr>
            <w:r>
              <w:rPr>
                <w:rFonts w:ascii="Calibri" w:hAnsi="Calibri"/>
                <w:b/>
                <w:color w:val="21143A"/>
                <w:sz w:val="16"/>
              </w:rPr>
              <w:t>A Contract with the Earth</w:t>
            </w:r>
          </w:p>
        </w:tc>
        <w:tc>
          <w:tcPr>
            <w:tcW w:type="dxa" w:w="3000"/>
            <w:vAlign w:val="top"/>
          </w:tcPr>
          <w:p>
            <w:pPr>
              <w:spacing w:after="0" w:line="252" w:lineRule="auto"/>
            </w:pPr>
            <w:r>
              <w:rPr>
                <w:rFonts w:ascii="Calibri" w:hAnsi="Calibri"/>
                <w:sz w:val="16"/>
              </w:rPr>
              <w:t>Entrepreneurial environmentalism; incentives and partnership</w:t>
            </w:r>
          </w:p>
        </w:tc>
        <w:tc>
          <w:tcPr>
            <w:tcW w:type="dxa" w:w="4260"/>
            <w:vAlign w:val="top"/>
          </w:tcPr>
          <w:p>
            <w:pPr>
              <w:spacing w:after="0" w:line="252" w:lineRule="auto"/>
            </w:pPr>
            <w:r>
              <w:rPr>
                <w:rFonts w:ascii="Calibri" w:hAnsi="Calibri"/>
                <w:sz w:val="16"/>
              </w:rPr>
              <w:t>Closest precursor to Public Benefit Exchange, but less general and less audit-centered.</w:t>
            </w:r>
          </w:p>
        </w:tc>
      </w:tr>
      <w:tr>
        <w:tc>
          <w:tcPr>
            <w:tcW w:type="dxa" w:w="2100"/>
            <w:vAlign w:val="top"/>
            <w:shd w:fill="FAF8FC"/>
          </w:tcPr>
          <w:p>
            <w:pPr>
              <w:spacing w:after="0" w:line="252" w:lineRule="auto"/>
            </w:pPr>
            <w:r>
              <w:rPr>
                <w:rFonts w:ascii="Calibri" w:hAnsi="Calibri"/>
                <w:b/>
                <w:color w:val="21143A"/>
                <w:sz w:val="16"/>
              </w:rPr>
              <w:t>Real Change</w:t>
            </w:r>
          </w:p>
        </w:tc>
        <w:tc>
          <w:tcPr>
            <w:tcW w:type="dxa" w:w="3000"/>
            <w:vAlign w:val="top"/>
            <w:shd w:fill="FAF8FC"/>
          </w:tcPr>
          <w:p>
            <w:pPr>
              <w:spacing w:after="0" w:line="252" w:lineRule="auto"/>
            </w:pPr>
            <w:r>
              <w:rPr>
                <w:rFonts w:ascii="Calibri" w:hAnsi="Calibri"/>
                <w:sz w:val="16"/>
              </w:rPr>
              <w:t>World that works versus world that fails</w:t>
            </w:r>
          </w:p>
        </w:tc>
        <w:tc>
          <w:tcPr>
            <w:tcW w:type="dxa" w:w="4260"/>
            <w:vAlign w:val="top"/>
            <w:shd w:fill="FAF8FC"/>
          </w:tcPr>
          <w:p>
            <w:pPr>
              <w:spacing w:after="0" w:line="252" w:lineRule="auto"/>
            </w:pPr>
            <w:r>
              <w:rPr>
                <w:rFonts w:ascii="Calibri" w:hAnsi="Calibri"/>
                <w:sz w:val="16"/>
              </w:rPr>
              <w:t>Shared results orientation; Purple Way specifies its result as residual power and lower dependency.</w:t>
            </w:r>
          </w:p>
        </w:tc>
      </w:tr>
      <w:tr>
        <w:tc>
          <w:tcPr>
            <w:tcW w:type="dxa" w:w="2100"/>
            <w:vAlign w:val="top"/>
          </w:tcPr>
          <w:p>
            <w:pPr>
              <w:spacing w:after="0" w:line="252" w:lineRule="auto"/>
            </w:pPr>
            <w:r>
              <w:rPr>
                <w:rFonts w:ascii="Calibri" w:hAnsi="Calibri"/>
                <w:b/>
                <w:color w:val="21143A"/>
                <w:sz w:val="16"/>
              </w:rPr>
              <w:t>Drill Here, Drill Now, Pay Less / $2.50 a Gallon</w:t>
            </w:r>
          </w:p>
        </w:tc>
        <w:tc>
          <w:tcPr>
            <w:tcW w:type="dxa" w:w="3000"/>
            <w:vAlign w:val="top"/>
          </w:tcPr>
          <w:p>
            <w:pPr>
              <w:spacing w:after="0" w:line="252" w:lineRule="auto"/>
            </w:pPr>
            <w:r>
              <w:rPr>
                <w:rFonts w:ascii="Calibri" w:hAnsi="Calibri"/>
                <w:sz w:val="16"/>
              </w:rPr>
              <w:t>Supply, domestic production, technology, lower energy cost</w:t>
            </w:r>
          </w:p>
        </w:tc>
        <w:tc>
          <w:tcPr>
            <w:tcW w:type="dxa" w:w="4260"/>
            <w:vAlign w:val="top"/>
          </w:tcPr>
          <w:p>
            <w:pPr>
              <w:spacing w:after="0" w:line="252" w:lineRule="auto"/>
            </w:pPr>
            <w:r>
              <w:rPr>
                <w:rFonts w:ascii="Calibri" w:hAnsi="Calibri"/>
                <w:sz w:val="16"/>
              </w:rPr>
              <w:t>Compatible abundance strategy; Purple Way adds verified household pass-through.</w:t>
            </w:r>
          </w:p>
        </w:tc>
      </w:tr>
      <w:tr>
        <w:tc>
          <w:tcPr>
            <w:tcW w:type="dxa" w:w="2100"/>
            <w:vAlign w:val="top"/>
            <w:shd w:fill="FAF8FC"/>
          </w:tcPr>
          <w:p>
            <w:pPr>
              <w:spacing w:after="0" w:line="252" w:lineRule="auto"/>
            </w:pPr>
            <w:r>
              <w:rPr>
                <w:rFonts w:ascii="Calibri" w:hAnsi="Calibri"/>
                <w:b/>
                <w:color w:val="21143A"/>
                <w:sz w:val="16"/>
              </w:rPr>
              <w:t>To Save America / Defeating Big Government Socialism</w:t>
            </w:r>
          </w:p>
        </w:tc>
        <w:tc>
          <w:tcPr>
            <w:tcW w:type="dxa" w:w="3000"/>
            <w:vAlign w:val="top"/>
            <w:shd w:fill="FAF8FC"/>
          </w:tcPr>
          <w:p>
            <w:pPr>
              <w:spacing w:after="0" w:line="252" w:lineRule="auto"/>
            </w:pPr>
            <w:r>
              <w:rPr>
                <w:rFonts w:ascii="Calibri" w:hAnsi="Calibri"/>
                <w:sz w:val="16"/>
              </w:rPr>
              <w:t>Opposition to centralized progressivism and dependency</w:t>
            </w:r>
          </w:p>
        </w:tc>
        <w:tc>
          <w:tcPr>
            <w:tcW w:type="dxa" w:w="4260"/>
            <w:vAlign w:val="top"/>
            <w:shd w:fill="FAF8FC"/>
          </w:tcPr>
          <w:p>
            <w:pPr>
              <w:spacing w:after="0" w:line="252" w:lineRule="auto"/>
            </w:pPr>
            <w:r>
              <w:rPr>
                <w:rFonts w:ascii="Calibri" w:hAnsi="Calibri"/>
                <w:sz w:val="16"/>
              </w:rPr>
              <w:t>Agrees on bureaucratic failure; Purple Way also criticizes red-side corporate extraction and debt dependence.</w:t>
            </w:r>
          </w:p>
        </w:tc>
      </w:tr>
      <w:tr>
        <w:tc>
          <w:tcPr>
            <w:tcW w:type="dxa" w:w="2100"/>
            <w:vAlign w:val="top"/>
          </w:tcPr>
          <w:p>
            <w:pPr>
              <w:spacing w:after="0" w:line="252" w:lineRule="auto"/>
            </w:pPr>
            <w:r>
              <w:rPr>
                <w:rFonts w:ascii="Calibri" w:hAnsi="Calibri"/>
                <w:b/>
                <w:color w:val="21143A"/>
                <w:sz w:val="16"/>
              </w:rPr>
              <w:t>Breakout</w:t>
            </w:r>
          </w:p>
        </w:tc>
        <w:tc>
          <w:tcPr>
            <w:tcW w:type="dxa" w:w="3000"/>
            <w:vAlign w:val="top"/>
          </w:tcPr>
          <w:p>
            <w:pPr>
              <w:spacing w:after="0" w:line="252" w:lineRule="auto"/>
            </w:pPr>
            <w:r>
              <w:rPr>
                <w:rFonts w:ascii="Calibri" w:hAnsi="Calibri"/>
                <w:sz w:val="16"/>
              </w:rPr>
              <w:t>Innovating pioneers versus defenders of obsolete systems</w:t>
            </w:r>
          </w:p>
        </w:tc>
        <w:tc>
          <w:tcPr>
            <w:tcW w:type="dxa" w:w="4260"/>
            <w:vAlign w:val="top"/>
          </w:tcPr>
          <w:p>
            <w:pPr>
              <w:spacing w:after="0" w:line="252" w:lineRule="auto"/>
            </w:pPr>
            <w:r>
              <w:rPr>
                <w:rFonts w:ascii="Calibri" w:hAnsi="Calibri"/>
                <w:sz w:val="16"/>
              </w:rPr>
              <w:t>Strong technological fit; Purple Way requires innovation to expand public and household capability.</w:t>
            </w:r>
          </w:p>
        </w:tc>
      </w:tr>
      <w:tr>
        <w:tc>
          <w:tcPr>
            <w:tcW w:type="dxa" w:w="2100"/>
            <w:vAlign w:val="top"/>
            <w:shd w:fill="FAF8FC"/>
          </w:tcPr>
          <w:p>
            <w:pPr>
              <w:spacing w:after="0" w:line="252" w:lineRule="auto"/>
            </w:pPr>
            <w:r>
              <w:rPr>
                <w:rFonts w:ascii="Calibri" w:hAnsi="Calibri"/>
                <w:b/>
                <w:color w:val="21143A"/>
                <w:sz w:val="16"/>
              </w:rPr>
              <w:t>Understanding Trump / Trump’s America / Trump’s Triumph</w:t>
            </w:r>
          </w:p>
        </w:tc>
        <w:tc>
          <w:tcPr>
            <w:tcW w:type="dxa" w:w="3000"/>
            <w:vAlign w:val="top"/>
            <w:shd w:fill="FAF8FC"/>
          </w:tcPr>
          <w:p>
            <w:pPr>
              <w:spacing w:after="0" w:line="252" w:lineRule="auto"/>
            </w:pPr>
            <w:r>
              <w:rPr>
                <w:rFonts w:ascii="Calibri" w:hAnsi="Calibri"/>
                <w:sz w:val="16"/>
              </w:rPr>
              <w:t>Political disruption, movement, leadership, populist change</w:t>
            </w:r>
          </w:p>
        </w:tc>
        <w:tc>
          <w:tcPr>
            <w:tcW w:type="dxa" w:w="4260"/>
            <w:vAlign w:val="top"/>
            <w:shd w:fill="FAF8FC"/>
          </w:tcPr>
          <w:p>
            <w:pPr>
              <w:spacing w:after="0" w:line="252" w:lineRule="auto"/>
            </w:pPr>
            <w:r>
              <w:rPr>
                <w:rFonts w:ascii="Calibri" w:hAnsi="Calibri"/>
                <w:sz w:val="16"/>
              </w:rPr>
              <w:t>Relevant to coalition and disruption, but not the Purple Way’s core economic architecture.</w:t>
            </w:r>
          </w:p>
        </w:tc>
      </w:tr>
      <w:tr>
        <w:tc>
          <w:tcPr>
            <w:tcW w:type="dxa" w:w="2100"/>
            <w:vAlign w:val="top"/>
          </w:tcPr>
          <w:p>
            <w:pPr>
              <w:spacing w:after="0" w:line="252" w:lineRule="auto"/>
            </w:pPr>
            <w:r>
              <w:rPr>
                <w:rFonts w:ascii="Calibri" w:hAnsi="Calibri"/>
                <w:b/>
                <w:color w:val="21143A"/>
                <w:sz w:val="16"/>
              </w:rPr>
              <w:t>Trump vs. China / Beyond Biden / America’s Golden Age</w:t>
            </w:r>
          </w:p>
        </w:tc>
        <w:tc>
          <w:tcPr>
            <w:tcW w:type="dxa" w:w="3000"/>
            <w:vAlign w:val="top"/>
          </w:tcPr>
          <w:p>
            <w:pPr>
              <w:spacing w:after="0" w:line="252" w:lineRule="auto"/>
            </w:pPr>
            <w:r>
              <w:rPr>
                <w:rFonts w:ascii="Calibri" w:hAnsi="Calibri"/>
                <w:sz w:val="16"/>
              </w:rPr>
              <w:t>Competition, security, national strength, peace through strength</w:t>
            </w:r>
          </w:p>
        </w:tc>
        <w:tc>
          <w:tcPr>
            <w:tcW w:type="dxa" w:w="4260"/>
            <w:vAlign w:val="top"/>
          </w:tcPr>
          <w:p>
            <w:pPr>
              <w:spacing w:after="0" w:line="252" w:lineRule="auto"/>
            </w:pPr>
            <w:r>
              <w:rPr>
                <w:rFonts w:ascii="Calibri" w:hAnsi="Calibri"/>
                <w:sz w:val="16"/>
              </w:rPr>
              <w:t>Gingrich is more developed; Purple Way contributes productive sovereignty and human-capital resilience.</w:t>
            </w:r>
          </w:p>
        </w:tc>
      </w:tr>
      <w:tr>
        <w:tc>
          <w:tcPr>
            <w:tcW w:type="dxa" w:w="2100"/>
            <w:vAlign w:val="top"/>
            <w:shd w:fill="FAF8FC"/>
          </w:tcPr>
          <w:p>
            <w:pPr>
              <w:spacing w:after="0" w:line="252" w:lineRule="auto"/>
            </w:pPr>
            <w:r>
              <w:rPr>
                <w:rFonts w:ascii="Calibri" w:hAnsi="Calibri"/>
                <w:b/>
                <w:color w:val="21143A"/>
                <w:sz w:val="16"/>
              </w:rPr>
              <w:t>March to the Majority</w:t>
            </w:r>
          </w:p>
        </w:tc>
        <w:tc>
          <w:tcPr>
            <w:tcW w:type="dxa" w:w="3000"/>
            <w:vAlign w:val="top"/>
            <w:shd w:fill="FAF8FC"/>
          </w:tcPr>
          <w:p>
            <w:pPr>
              <w:spacing w:after="0" w:line="252" w:lineRule="auto"/>
            </w:pPr>
            <w:r>
              <w:rPr>
                <w:rFonts w:ascii="Calibri" w:hAnsi="Calibri"/>
                <w:sz w:val="16"/>
              </w:rPr>
              <w:t>Long-term organization, messaging, contract politics, Republican majority</w:t>
            </w:r>
          </w:p>
        </w:tc>
        <w:tc>
          <w:tcPr>
            <w:tcW w:type="dxa" w:w="4260"/>
            <w:vAlign w:val="top"/>
            <w:shd w:fill="FAF8FC"/>
          </w:tcPr>
          <w:p>
            <w:pPr>
              <w:spacing w:after="0" w:line="252" w:lineRule="auto"/>
            </w:pPr>
            <w:r>
              <w:rPr>
                <w:rFonts w:ascii="Calibri" w:hAnsi="Calibri"/>
                <w:sz w:val="16"/>
              </w:rPr>
              <w:t>Powerful organizing lessons; Purple Way should avoid reproducing permanent partisan warfare.</w:t>
            </w:r>
          </w:p>
        </w:tc>
      </w:tr>
      <w:tr>
        <w:tc>
          <w:tcPr>
            <w:tcW w:type="dxa" w:w="2100"/>
            <w:vAlign w:val="top"/>
          </w:tcPr>
          <w:p>
            <w:pPr>
              <w:spacing w:after="0" w:line="252" w:lineRule="auto"/>
            </w:pPr>
            <w:r>
              <w:rPr>
                <w:rFonts w:ascii="Calibri" w:hAnsi="Calibri"/>
                <w:b/>
                <w:color w:val="21143A"/>
                <w:sz w:val="16"/>
              </w:rPr>
              <w:t>Historical fiction and military novels</w:t>
            </w:r>
          </w:p>
        </w:tc>
        <w:tc>
          <w:tcPr>
            <w:tcW w:type="dxa" w:w="3000"/>
            <w:vAlign w:val="top"/>
          </w:tcPr>
          <w:p>
            <w:pPr>
              <w:spacing w:after="0" w:line="252" w:lineRule="auto"/>
            </w:pPr>
            <w:r>
              <w:rPr>
                <w:rFonts w:ascii="Calibri" w:hAnsi="Calibri"/>
                <w:sz w:val="16"/>
              </w:rPr>
              <w:t>Leadership, contingency, courage, national memory, war</w:t>
            </w:r>
          </w:p>
        </w:tc>
        <w:tc>
          <w:tcPr>
            <w:tcW w:type="dxa" w:w="4260"/>
            <w:vAlign w:val="top"/>
          </w:tcPr>
          <w:p>
            <w:pPr>
              <w:spacing w:after="0" w:line="252" w:lineRule="auto"/>
            </w:pPr>
            <w:r>
              <w:rPr>
                <w:rFonts w:ascii="Calibri" w:hAnsi="Calibri"/>
                <w:sz w:val="16"/>
              </w:rPr>
              <w:t>Illustrate moral and strategic themes but do not constitute a complete domestic policy program.</w:t>
            </w:r>
          </w:p>
        </w:tc>
      </w:tr>
    </w:tbl>
    <w:p>
      <w:pPr>
        <w:pStyle w:val="Caption"/>
        <w:widowControl/>
      </w:pPr>
      <w:r>
        <w:t>Note: Grouping is thematic. It does not imply that every proposition in a grouped book is identical, or that the Purple Way adopts the partisan, cultural, or foreign-policy judgments contained in each work.</w:t>
      </w:r>
    </w:p>
    <w:p>
      <w:pPr>
        <w:widowControl/>
      </w:pPr>
      <w:r>
        <w:br w:type="page"/>
      </w:r>
    </w:p>
    <w:p>
      <w:pPr>
        <w:pStyle w:val="Heading1"/>
        <w:keepNext/>
        <w:widowControl/>
      </w:pPr>
      <w:r>
        <w:t>Appendix B</w:t>
      </w:r>
    </w:p>
    <w:p>
      <w:pPr>
        <w:pStyle w:val="Heading2"/>
        <w:keepNext/>
        <w:widowControl/>
      </w:pPr>
      <w:r>
        <w:t>Sources and Method</w:t>
      </w:r>
    </w:p>
    <w:p>
      <w:pPr>
        <w:widowControl/>
      </w:pPr>
      <w:r>
        <w:t>This book is an interpretive comparison, not a claim of exhaustive textual concordance. It relies on published descriptions, excerpts, official or archival policy texts, recent publisher materials, and the recurring principles in the Purple Way manuscripts and discussions. Statements labeled as opinion or assessment are analytical judgments, not quotations from Gingrich or endorsements by him.</w:t>
      </w:r>
    </w:p>
    <w:p>
      <w:pPr>
        <w:pStyle w:val="ListBullet"/>
        <w:widowControl/>
      </w:pPr>
      <w:r>
        <w:t>Newt Gingrich, Window of Opportunity: A Blueprint for the Future (1984).</w:t>
      </w:r>
    </w:p>
    <w:p>
      <w:pPr>
        <w:pStyle w:val="ListBullet"/>
        <w:widowControl/>
      </w:pPr>
      <w:r>
        <w:t>Republican candidates, “The Republican Contract with America” (September 27, 1994), archived by The American Presidency Project.</w:t>
      </w:r>
    </w:p>
    <w:p>
      <w:pPr>
        <w:pStyle w:val="ListBullet"/>
        <w:widowControl/>
      </w:pPr>
      <w:r>
        <w:t>Newt Gingrich, To Renew America (1995).</w:t>
      </w:r>
    </w:p>
    <w:p>
      <w:pPr>
        <w:pStyle w:val="ListBullet"/>
        <w:widowControl/>
      </w:pPr>
      <w:r>
        <w:t>Newt Gingrich, Winning the Future: A 21st Century Contract with America (2005).</w:t>
      </w:r>
    </w:p>
    <w:p>
      <w:pPr>
        <w:pStyle w:val="ListBullet"/>
        <w:widowControl/>
      </w:pPr>
      <w:r>
        <w:t>Newt Gingrich and Nancy Desmond, The Art of Transformation (2006).</w:t>
      </w:r>
    </w:p>
    <w:p>
      <w:pPr>
        <w:pStyle w:val="ListBullet"/>
        <w:widowControl/>
      </w:pPr>
      <w:r>
        <w:t>Newt Gingrich and Terry L. Maple, A Contract with the Earth (2007).</w:t>
      </w:r>
    </w:p>
    <w:p>
      <w:pPr>
        <w:pStyle w:val="ListBullet"/>
        <w:widowControl/>
      </w:pPr>
      <w:r>
        <w:t>Newt Gingrich, Real Change: From the World That Fails to the World That Works (2008).</w:t>
      </w:r>
    </w:p>
    <w:p>
      <w:pPr>
        <w:pStyle w:val="ListBullet"/>
        <w:widowControl/>
      </w:pPr>
      <w:r>
        <w:t>Newt Gingrich, Drill Here, Drill Now, Pay Less (2008); and $2.50 a Gallon (2012).</w:t>
      </w:r>
    </w:p>
    <w:p>
      <w:pPr>
        <w:pStyle w:val="ListBullet"/>
        <w:widowControl/>
      </w:pPr>
      <w:r>
        <w:t>Newt Gingrich, To Save America (2010); A Nation Like No Other (2011); Breakout (2013).</w:t>
      </w:r>
    </w:p>
    <w:p>
      <w:pPr>
        <w:pStyle w:val="ListBullet"/>
        <w:widowControl/>
      </w:pPr>
      <w:r>
        <w:t>Newt Gingrich, Understanding Trump (2017); Trump’s America (2018); Trump vs. China (2019); Trump and the American Future (2020); Beyond Biden (2021); Defeating Big Government Socialism (2022); March to the Majority (2023); Trump’s Triumph (2025); America’s Golden Age (2026).</w:t>
      </w:r>
    </w:p>
    <w:p>
      <w:pPr>
        <w:pStyle w:val="ListBullet"/>
        <w:widowControl/>
      </w:pPr>
      <w:r>
        <w:t>Publishers Weekly summaries of Window of Opportunity and other listed works.</w:t>
      </w:r>
    </w:p>
    <w:p>
      <w:pPr>
        <w:pStyle w:val="ListBullet"/>
        <w:widowControl/>
      </w:pPr>
      <w:r>
        <w:t>Regnery Publishing and Hachette/Center Street author and book pages.</w:t>
      </w:r>
    </w:p>
    <w:p>
      <w:pPr>
        <w:pStyle w:val="ListBullet"/>
        <w:widowControl/>
      </w:pPr>
      <w:r>
        <w:t>PBS Frontline archive, The Long March of Newt Gingrich.</w:t>
      </w:r>
    </w:p>
    <w:p>
      <w:pPr>
        <w:pStyle w:val="ListBullet"/>
        <w:widowControl/>
      </w:pPr>
      <w:r>
        <w:t>The American Presidency Project, Gingrich campaign release, “Newt Offers 12 Step Program for Job Creation Now” (September 8, 2011).</w:t>
      </w:r>
    </w:p>
    <w:p>
      <w:pPr>
        <w:pStyle w:val="ListBullet"/>
        <w:widowControl/>
      </w:pPr>
      <w:r>
        <w:t>Rustin Penland, Purple Way and Human Capital Conservatism manuscripts: knowledge as capital; protection joined to preparation; residual power; Public Benefit Exchange; productive-capital growth; monetary-pressure reduction; technology expansion contracts; and transparent civic participation.</w:t>
      </w:r>
    </w:p>
    <w:p>
      <w:pPr>
        <w:pStyle w:val="Heading2"/>
        <w:keepNext/>
        <w:widowControl/>
      </w:pPr>
      <w:r>
        <w:t>Selected web references</w:t>
      </w:r>
    </w:p>
    <w:p>
      <w:pPr>
        <w:pStyle w:val="ListBullet"/>
        <w:widowControl/>
      </w:pPr>
      <w:r>
        <w:rPr>
          <w:b/>
        </w:rPr>
        <w:t xml:space="preserve">The Republican Contract with America: </w:t>
      </w:r>
      <w:r>
        <w:t>https://www.presidency.ucsb.edu/documents/the-republican-contract-with-america</w:t>
      </w:r>
    </w:p>
    <w:p>
      <w:pPr>
        <w:pStyle w:val="ListBullet"/>
        <w:widowControl/>
      </w:pPr>
      <w:r>
        <w:rPr>
          <w:b/>
        </w:rPr>
        <w:t xml:space="preserve">Gingrich 12-step job-creation program: </w:t>
      </w:r>
      <w:r>
        <w:t>https://www.presidency.ucsb.edu/documents/gingrich-campaign-press-release-newt-offers-12-step-program-for-job-creation-now</w:t>
      </w:r>
    </w:p>
    <w:p>
      <w:pPr>
        <w:pStyle w:val="ListBullet"/>
        <w:widowControl/>
      </w:pPr>
      <w:r>
        <w:rPr>
          <w:b/>
        </w:rPr>
        <w:t xml:space="preserve">Publishers Weekly: Window of Opportunity: </w:t>
      </w:r>
      <w:r>
        <w:t>https://www.publishersweekly.com/9780312939236</w:t>
      </w:r>
    </w:p>
    <w:p>
      <w:pPr>
        <w:pStyle w:val="ListBullet"/>
        <w:widowControl/>
      </w:pPr>
      <w:r>
        <w:rPr>
          <w:b/>
        </w:rPr>
        <w:t xml:space="preserve">Regnery: Real Change: </w:t>
      </w:r>
      <w:r>
        <w:t>https://www.regnery.com/9781596980532/real-change/</w:t>
      </w:r>
    </w:p>
    <w:p>
      <w:pPr>
        <w:pStyle w:val="ListBullet"/>
        <w:widowControl/>
      </w:pPr>
      <w:r>
        <w:rPr>
          <w:b/>
        </w:rPr>
        <w:t xml:space="preserve">Regnery: $2.50 a Gallon: </w:t>
      </w:r>
      <w:r>
        <w:t>https://www.regnery.com/9781621570059/2-50-a-gallon/</w:t>
      </w:r>
    </w:p>
    <w:p>
      <w:pPr>
        <w:pStyle w:val="ListBullet"/>
        <w:widowControl/>
      </w:pPr>
      <w:r>
        <w:rPr>
          <w:b/>
        </w:rPr>
        <w:t xml:space="preserve">Center Street: March to the Majority: </w:t>
      </w:r>
      <w:r>
        <w:t>https://www.centerstreet.com/titles/newt-gingrich/march-to-the-majority/9781546004868/</w:t>
      </w:r>
    </w:p>
    <w:p>
      <w:pPr>
        <w:pStyle w:val="ListBullet"/>
        <w:widowControl/>
      </w:pPr>
      <w:r>
        <w:rPr>
          <w:b/>
        </w:rPr>
        <w:t xml:space="preserve">Hachette: Newt Gingrich author profile: </w:t>
      </w:r>
      <w:r>
        <w:t>https://www.hachettebookgroup.com/contributor/newt-gingrich/</w:t>
      </w:r>
    </w:p>
    <w:p>
      <w:pPr>
        <w:pStyle w:val="ListBullet"/>
        <w:widowControl/>
      </w:pPr>
      <w:r>
        <w:rPr>
          <w:b/>
        </w:rPr>
        <w:t xml:space="preserve">Hachette: America’s Golden Age: </w:t>
      </w:r>
      <w:r>
        <w:t>https://www.hachettebookgroup.com/titles/newt-gingrich/americas-golden-age/9781546012276/</w:t>
      </w:r>
    </w:p>
    <w:p>
      <w:pPr>
        <w:pStyle w:val="ListBullet"/>
        <w:widowControl/>
      </w:pPr>
      <w:r>
        <w:rPr>
          <w:b/>
        </w:rPr>
        <w:t xml:space="preserve">PBS Frontline: Newt’s quotations: </w:t>
      </w:r>
      <w:r>
        <w:t>https://www.pbs.org/wgbh/pages/frontline/newt/newtquotes.html</w:t>
      </w:r>
    </w:p>
    <w:sectPr w:rsidR="00FC693F" w:rsidRPr="0006063C" w:rsidSect="00034616">
      <w:headerReference w:type="default" r:id="rId9"/>
      <w:footerReference w:type="default" r:id="rId10"/>
      <w:headerReference w:type="first" r:id="rId11"/>
      <w:footerReference w:type="first" r:id="rId12"/>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16D"/>
        <w:sz w:val="16"/>
      </w:rPr>
      <w:t xml:space="preserve">THE PURPLE WAY  |  </w:t>
    </w: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66616D"/>
        <w:sz w:val="16"/>
      </w:rPr>
      <w:t>BEYOND THE OPPORTUNITY SOCIETY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7" w:lineRule="auto"/>
    </w:pPr>
    <w:rPr>
      <w:rFonts w:ascii="Calibri" w:hAnsi="Calibri"/>
      <w:color w:val="2421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6B3FA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1143A"/>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6B3FA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Quote">
    <w:name w:val="Book Quote"/>
    <w:pPr>
      <w:spacing w:before="160" w:after="200" w:line="276" w:lineRule="auto"/>
      <w:ind w:left="504" w:right="504"/>
    </w:pPr>
    <w:rPr>
      <w:rFonts w:ascii="Calibri" w:hAnsi="Calibri"/>
      <w:i/>
      <w:color w:val="2114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Opportunity Society</dc:title>
  <dc:subject>Newt Gingrich, the Purple Way, and Human Capital Conservatism</dc:subject>
  <dc:creator>Rustin Penland</dc:creator>
  <cp:keywords>Purple Way, Human Capital Conservatism, Newt Gingrich, entrepreneurship, opportunity society</cp:keywords>
  <dc:description>Comparative analytical edition, September 2026</dc:description>
  <cp:lastModifiedBy/>
  <cp:revision>1</cp:revision>
  <dcterms:created xsi:type="dcterms:W3CDTF">2013-12-23T23:15:00Z</dcterms:created>
  <dcterms:modified xsi:type="dcterms:W3CDTF">2013-12-23T23:15:00Z</dcterms:modified>
  <cp:category/>
</cp:coreProperties>
</file>